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560" w:lineRule="exact"/>
        <w:jc w:val="center"/>
        <w:rPr>
          <w:rFonts w:ascii="Times New Roman" w:hAnsi="Times New Roman" w:eastAsia="方正小标宋简体" w:cs="Times New Roman"/>
          <w:kern w:val="0"/>
          <w:sz w:val="44"/>
          <w:szCs w:val="44"/>
        </w:rPr>
      </w:pPr>
      <w:r>
        <w:rPr>
          <w:rFonts w:hint="eastAsia" w:ascii="Times New Roman" w:hAnsi="Times New Roman" w:eastAsia="方正小标宋简体" w:cs="Times New Roman"/>
          <w:kern w:val="0"/>
          <w:sz w:val="44"/>
          <w:szCs w:val="44"/>
        </w:rPr>
        <w:t>宣城宛陵科创建设投资有限公司</w:t>
      </w:r>
    </w:p>
    <w:p>
      <w:pPr>
        <w:autoSpaceDE w:val="0"/>
        <w:autoSpaceDN w:val="0"/>
        <w:adjustRightInd w:val="0"/>
        <w:spacing w:line="560" w:lineRule="exact"/>
        <w:jc w:val="center"/>
        <w:rPr>
          <w:rFonts w:ascii="Times New Roman" w:hAnsi="Times New Roman" w:eastAsia="方正小标宋简体" w:cs="Times New Roman"/>
          <w:kern w:val="0"/>
          <w:sz w:val="44"/>
          <w:szCs w:val="44"/>
        </w:rPr>
      </w:pPr>
      <w:r>
        <w:rPr>
          <w:rFonts w:hint="eastAsia" w:ascii="Times New Roman" w:hAnsi="Times New Roman" w:eastAsia="方正小标宋简体" w:cs="Times New Roman"/>
          <w:kern w:val="0"/>
          <w:sz w:val="44"/>
          <w:szCs w:val="44"/>
        </w:rPr>
        <w:t>宣城经开区科创基金</w:t>
      </w:r>
      <w:r>
        <w:rPr>
          <w:rFonts w:ascii="Times New Roman" w:hAnsi="Times New Roman" w:eastAsia="方正小标宋简体" w:cs="Times New Roman"/>
          <w:kern w:val="0"/>
          <w:sz w:val="44"/>
          <w:szCs w:val="44"/>
        </w:rPr>
        <w:t>管理人比选方案</w:t>
      </w:r>
    </w:p>
    <w:p>
      <w:pPr>
        <w:pStyle w:val="6"/>
        <w:shd w:val="clear" w:color="auto" w:fill="FFFFFF"/>
        <w:spacing w:before="0" w:beforeAutospacing="0" w:after="0" w:afterAutospacing="0" w:line="560" w:lineRule="exact"/>
        <w:ind w:firstLine="643" w:firstLineChars="200"/>
        <w:jc w:val="both"/>
        <w:outlineLvl w:val="0"/>
        <w:rPr>
          <w:rFonts w:ascii="Times New Roman" w:hAnsi="Times New Roman" w:eastAsia="黑体" w:cs="Times New Roman"/>
          <w:b/>
          <w:bCs/>
          <w:sz w:val="32"/>
          <w:szCs w:val="32"/>
        </w:rPr>
      </w:pPr>
    </w:p>
    <w:p>
      <w:pPr>
        <w:pStyle w:val="6"/>
        <w:numPr>
          <w:ilvl w:val="0"/>
          <w:numId w:val="1"/>
        </w:numPr>
        <w:shd w:val="clear" w:color="auto" w:fill="FFFFFF"/>
        <w:spacing w:before="0" w:beforeAutospacing="0" w:after="0" w:afterAutospacing="0" w:line="560" w:lineRule="exact"/>
        <w:ind w:firstLine="640" w:firstLineChars="200"/>
        <w:jc w:val="both"/>
        <w:outlineLvl w:val="0"/>
        <w:rPr>
          <w:rFonts w:ascii="Times New Roman" w:hAnsi="Times New Roman" w:eastAsia="黑体" w:cs="Times New Roman"/>
          <w:bCs/>
          <w:sz w:val="32"/>
          <w:szCs w:val="32"/>
        </w:rPr>
      </w:pPr>
      <w:r>
        <w:rPr>
          <w:rFonts w:ascii="Times New Roman" w:hAnsi="Times New Roman" w:eastAsia="黑体" w:cs="Times New Roman"/>
          <w:bCs/>
          <w:sz w:val="32"/>
          <w:szCs w:val="32"/>
        </w:rPr>
        <w:t>设立</w:t>
      </w:r>
      <w:r>
        <w:rPr>
          <w:rFonts w:hint="eastAsia" w:ascii="Times New Roman" w:hAnsi="Times New Roman" w:eastAsia="黑体" w:cs="Times New Roman"/>
          <w:bCs/>
          <w:sz w:val="32"/>
          <w:szCs w:val="32"/>
        </w:rPr>
        <w:t>目的</w:t>
      </w:r>
    </w:p>
    <w:p>
      <w:pPr>
        <w:pStyle w:val="6"/>
        <w:shd w:val="clear" w:color="auto" w:fill="FFFFFF"/>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为做好宛陵科创城乃至宣城经开区双招双引工作，积极引导社会资本和金融机构资金支持研发类、软件类产业及实体经济发展，助推企业做大做强，促进宣城经开区经济社会发展。经研究决定，设立宣城经开区科创基金管理，支持相关产业和领域发展。为提高基金管理水平，现向社会公开征集基金管理机构，负责基金的设立、募集、投资、管理和退出工作。</w:t>
      </w:r>
    </w:p>
    <w:p>
      <w:pPr>
        <w:pStyle w:val="6"/>
        <w:numPr>
          <w:ilvl w:val="0"/>
          <w:numId w:val="1"/>
        </w:numPr>
        <w:shd w:val="clear" w:color="auto" w:fill="FFFFFF"/>
        <w:spacing w:before="0" w:beforeAutospacing="0" w:after="0" w:afterAutospacing="0" w:line="560" w:lineRule="exact"/>
        <w:ind w:firstLine="640" w:firstLineChars="200"/>
        <w:jc w:val="both"/>
        <w:outlineLvl w:val="0"/>
        <w:rPr>
          <w:rFonts w:ascii="Times New Roman" w:hAnsi="Times New Roman" w:eastAsia="黑体" w:cs="Times New Roman"/>
          <w:bCs/>
          <w:sz w:val="32"/>
          <w:szCs w:val="32"/>
        </w:rPr>
      </w:pPr>
      <w:r>
        <w:rPr>
          <w:rFonts w:ascii="Times New Roman" w:hAnsi="Times New Roman" w:eastAsia="黑体" w:cs="Times New Roman"/>
          <w:bCs/>
          <w:sz w:val="32"/>
          <w:szCs w:val="32"/>
        </w:rPr>
        <w:t>基金要素</w:t>
      </w:r>
    </w:p>
    <w:p>
      <w:pPr>
        <w:spacing w:line="360" w:lineRule="auto"/>
        <w:ind w:firstLine="640" w:firstLineChars="200"/>
        <w:rPr>
          <w:rFonts w:ascii="楷体_GB2312" w:hAnsi="楷体_GB2312" w:eastAsia="楷体_GB2312" w:cs="楷体_GB2312"/>
          <w:sz w:val="32"/>
          <w:szCs w:val="32"/>
        </w:rPr>
      </w:pPr>
      <w:r>
        <w:rPr>
          <w:rFonts w:hint="eastAsia" w:ascii="楷体_GB2312" w:hAnsi="楷体_GB2312" w:eastAsia="楷体_GB2312" w:cs="楷体_GB2312"/>
          <w:sz w:val="32"/>
          <w:szCs w:val="32"/>
        </w:rPr>
        <w:t>（一）基金名称及注册地</w:t>
      </w:r>
    </w:p>
    <w:p>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bCs/>
          <w:sz w:val="32"/>
          <w:szCs w:val="32"/>
        </w:rPr>
        <w:t>宣城经开区科创基金</w:t>
      </w:r>
      <w:r>
        <w:rPr>
          <w:rFonts w:hint="eastAsia" w:ascii="仿宋_GB2312" w:hAnsi="仿宋_GB2312" w:eastAsia="仿宋_GB2312" w:cs="仿宋_GB2312"/>
          <w:sz w:val="32"/>
          <w:szCs w:val="32"/>
        </w:rPr>
        <w:t>（有限合伙）（暂定名，以工商核准为准）。</w:t>
      </w:r>
    </w:p>
    <w:p>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注册地：宣城经开区宛陵科创城</w:t>
      </w:r>
    </w:p>
    <w:p>
      <w:pPr>
        <w:numPr>
          <w:ilvl w:val="0"/>
          <w:numId w:val="2"/>
        </w:numPr>
        <w:spacing w:line="360" w:lineRule="auto"/>
        <w:ind w:firstLine="640"/>
        <w:rPr>
          <w:rFonts w:ascii="楷体_GB2312" w:hAnsi="楷体_GB2312" w:eastAsia="楷体_GB2312" w:cs="楷体_GB2312"/>
          <w:sz w:val="32"/>
          <w:szCs w:val="32"/>
        </w:rPr>
      </w:pPr>
      <w:r>
        <w:rPr>
          <w:rFonts w:hint="eastAsia" w:ascii="楷体_GB2312" w:hAnsi="楷体_GB2312" w:eastAsia="楷体_GB2312" w:cs="楷体_GB2312"/>
          <w:sz w:val="32"/>
          <w:szCs w:val="32"/>
        </w:rPr>
        <w:t>基金组织形式</w:t>
      </w:r>
    </w:p>
    <w:p>
      <w:pPr>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highlight w:val="none"/>
        </w:rPr>
        <w:t>本基金采用单管理人双G</w:t>
      </w:r>
      <w:r>
        <w:rPr>
          <w:rFonts w:ascii="仿宋_GB2312" w:hAnsi="仿宋_GB2312" w:eastAsia="仿宋_GB2312" w:cs="仿宋_GB2312"/>
          <w:sz w:val="32"/>
          <w:szCs w:val="32"/>
          <w:highlight w:val="none"/>
        </w:rPr>
        <w:t>P</w:t>
      </w:r>
      <w:r>
        <w:rPr>
          <w:rFonts w:hint="eastAsia" w:ascii="仿宋_GB2312" w:hAnsi="仿宋_GB2312" w:eastAsia="仿宋_GB2312" w:cs="仿宋_GB2312"/>
          <w:sz w:val="32"/>
          <w:szCs w:val="32"/>
          <w:highlight w:val="none"/>
        </w:rPr>
        <w:t>模式，</w:t>
      </w:r>
      <w:r>
        <w:rPr>
          <w:rFonts w:hint="eastAsia" w:ascii="仿宋_GB2312" w:hAnsi="仿宋_GB2312" w:eastAsia="仿宋_GB2312" w:cs="仿宋_GB2312"/>
          <w:sz w:val="32"/>
          <w:szCs w:val="32"/>
        </w:rPr>
        <w:t>其中一个普通合伙人为宛陵科创公司</w:t>
      </w:r>
      <w:r>
        <w:rPr>
          <w:rFonts w:hint="eastAsia" w:ascii="仿宋_GB2312" w:hAnsi="仿宋_GB2312" w:eastAsia="仿宋_GB2312" w:cs="仿宋_GB2312"/>
          <w:sz w:val="32"/>
          <w:szCs w:val="32"/>
          <w:lang w:val="en-US" w:eastAsia="zh-CN"/>
        </w:rPr>
        <w:t>选</w:t>
      </w:r>
      <w:r>
        <w:rPr>
          <w:rFonts w:hint="eastAsia" w:ascii="仿宋_GB2312" w:hAnsi="仿宋_GB2312" w:eastAsia="仿宋_GB2312" w:cs="仿宋_GB2312"/>
          <w:sz w:val="32"/>
          <w:szCs w:val="32"/>
        </w:rPr>
        <w:t>定。</w:t>
      </w:r>
    </w:p>
    <w:p>
      <w:pPr>
        <w:spacing w:line="360" w:lineRule="auto"/>
        <w:ind w:firstLine="640"/>
        <w:rPr>
          <w:rFonts w:ascii="楷体_GB2312" w:hAnsi="楷体_GB2312" w:eastAsia="楷体_GB2312" w:cs="楷体_GB2312"/>
          <w:sz w:val="32"/>
          <w:szCs w:val="32"/>
        </w:rPr>
      </w:pPr>
      <w:r>
        <w:rPr>
          <w:rFonts w:hint="eastAsia" w:ascii="楷体_GB2312" w:hAnsi="楷体_GB2312" w:eastAsia="楷体_GB2312" w:cs="楷体_GB2312"/>
          <w:sz w:val="32"/>
          <w:szCs w:val="32"/>
        </w:rPr>
        <w:t>（三）基金规模</w:t>
      </w:r>
    </w:p>
    <w:p>
      <w:pPr>
        <w:pStyle w:val="6"/>
        <w:shd w:val="clear" w:color="auto" w:fill="FFFFFF"/>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基金总规模1亿元，其中宛陵科创公司作为有限合伙人出资5000万，基金管理人以自有和募集社会资本出资5000万元。</w:t>
      </w:r>
    </w:p>
    <w:p>
      <w:pPr>
        <w:pStyle w:val="17"/>
        <w:spacing w:line="360" w:lineRule="auto"/>
        <w:ind w:left="643" w:firstLine="0" w:firstLineChars="0"/>
        <w:rPr>
          <w:rFonts w:ascii="楷体_GB2312" w:hAnsi="楷体_GB2312" w:eastAsia="楷体_GB2312" w:cs="楷体_GB2312"/>
          <w:sz w:val="32"/>
          <w:szCs w:val="32"/>
        </w:rPr>
      </w:pPr>
      <w:r>
        <w:rPr>
          <w:rFonts w:hint="eastAsia" w:ascii="楷体_GB2312" w:hAnsi="楷体_GB2312" w:eastAsia="楷体_GB2312" w:cs="楷体_GB2312"/>
          <w:sz w:val="32"/>
          <w:szCs w:val="32"/>
        </w:rPr>
        <w:t>（四）基金投向</w:t>
      </w:r>
    </w:p>
    <w:p>
      <w:pPr>
        <w:pStyle w:val="17"/>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1.应符合国家重点支持的高新技术领域，主要投资于以新能源新材料、汽车零部件、食品医药、高端装备制造、物联网、大数据、人工智能、5G新基建等产业定位的企业。</w:t>
      </w:r>
    </w:p>
    <w:p>
      <w:pPr>
        <w:pStyle w:val="17"/>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2.主要用于宛陵科创城及宣城经开区内高新技术企业，或通过投资招商，引入区外优质有增长前景的，有利于宣城经开区产业整合、发展的企业。</w:t>
      </w:r>
    </w:p>
    <w:p>
      <w:pPr>
        <w:spacing w:line="360" w:lineRule="auto"/>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3.经投资决策委员会同意，宣城经开区外的项目。</w:t>
      </w:r>
    </w:p>
    <w:p>
      <w:pPr>
        <w:pStyle w:val="17"/>
        <w:spacing w:line="360" w:lineRule="auto"/>
        <w:ind w:firstLine="640"/>
        <w:rPr>
          <w:rFonts w:ascii="楷体_GB2312" w:hAnsi="楷体_GB2312" w:eastAsia="楷体_GB2312" w:cs="楷体_GB2312"/>
          <w:sz w:val="32"/>
          <w:szCs w:val="32"/>
        </w:rPr>
      </w:pPr>
      <w:r>
        <w:rPr>
          <w:rFonts w:hint="eastAsia" w:ascii="楷体_GB2312" w:hAnsi="楷体_GB2312" w:eastAsia="楷体_GB2312" w:cs="楷体_GB2312"/>
          <w:sz w:val="32"/>
          <w:szCs w:val="32"/>
        </w:rPr>
        <w:t>（五）返投比例</w:t>
      </w:r>
    </w:p>
    <w:p>
      <w:pPr>
        <w:pStyle w:val="17"/>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基金以市场化运作为基础，返投比例不低于宛陵科创</w:t>
      </w:r>
      <w:r>
        <w:rPr>
          <w:rFonts w:hint="eastAsia" w:ascii="仿宋_GB2312" w:hAnsi="仿宋_GB2312" w:eastAsia="仿宋_GB2312" w:cs="仿宋_GB2312"/>
          <w:sz w:val="32"/>
          <w:szCs w:val="32"/>
          <w:lang w:eastAsia="zh-CN"/>
        </w:rPr>
        <w:t>公司</w:t>
      </w:r>
      <w:r>
        <w:rPr>
          <w:rFonts w:hint="eastAsia" w:ascii="仿宋_GB2312" w:hAnsi="仿宋_GB2312" w:eastAsia="仿宋_GB2312" w:cs="仿宋_GB2312"/>
          <w:sz w:val="32"/>
          <w:szCs w:val="32"/>
        </w:rPr>
        <w:t>出资额的6</w:t>
      </w:r>
      <w:r>
        <w:rPr>
          <w:rFonts w:ascii="仿宋_GB2312" w:hAnsi="仿宋_GB2312" w:eastAsia="仿宋_GB2312" w:cs="仿宋_GB2312"/>
          <w:sz w:val="32"/>
          <w:szCs w:val="32"/>
        </w:rPr>
        <w:t>0%</w:t>
      </w:r>
      <w:r>
        <w:rPr>
          <w:rFonts w:hint="eastAsia" w:ascii="仿宋_GB2312" w:hAnsi="仿宋_GB2312" w:eastAsia="仿宋_GB2312" w:cs="仿宋_GB2312"/>
          <w:sz w:val="32"/>
          <w:szCs w:val="32"/>
        </w:rPr>
        <w:t>。。</w:t>
      </w:r>
    </w:p>
    <w:p>
      <w:pPr>
        <w:pStyle w:val="17"/>
        <w:spacing w:line="360" w:lineRule="auto"/>
        <w:ind w:firstLine="640"/>
        <w:rPr>
          <w:rFonts w:ascii="楷体_GB2312" w:hAnsi="楷体_GB2312" w:eastAsia="楷体_GB2312" w:cs="楷体_GB2312"/>
          <w:sz w:val="32"/>
          <w:szCs w:val="32"/>
        </w:rPr>
      </w:pPr>
      <w:r>
        <w:rPr>
          <w:rFonts w:hint="eastAsia" w:ascii="楷体_GB2312" w:hAnsi="楷体_GB2312" w:eastAsia="楷体_GB2312" w:cs="楷体_GB2312"/>
          <w:sz w:val="32"/>
          <w:szCs w:val="32"/>
        </w:rPr>
        <w:t>（六）管理费</w:t>
      </w:r>
    </w:p>
    <w:p>
      <w:pPr>
        <w:pStyle w:val="17"/>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基金投资期管理费按不高于每年2%收取（</w:t>
      </w:r>
      <w:r>
        <w:rPr>
          <w:rFonts w:hint="eastAsia" w:ascii="仿宋_GB2312" w:hAnsi="仿宋_GB2312" w:eastAsia="仿宋_GB2312" w:cs="仿宋_GB2312"/>
          <w:kern w:val="0"/>
          <w:sz w:val="32"/>
          <w:szCs w:val="32"/>
        </w:rPr>
        <w:t>以基金实缴出资总额为基数</w:t>
      </w:r>
      <w:r>
        <w:rPr>
          <w:rFonts w:hint="eastAsia" w:ascii="仿宋_GB2312" w:hAnsi="仿宋_GB2312" w:eastAsia="仿宋_GB2312" w:cs="仿宋_GB2312"/>
          <w:sz w:val="32"/>
          <w:szCs w:val="32"/>
        </w:rPr>
        <w:t>），退出期每年收取</w:t>
      </w:r>
      <w:r>
        <w:rPr>
          <w:rFonts w:hint="eastAsia" w:ascii="仿宋_GB2312" w:hAnsi="仿宋_GB2312" w:eastAsia="仿宋_GB2312" w:cs="仿宋_GB2312"/>
          <w:sz w:val="32"/>
          <w:szCs w:val="32"/>
          <w:highlight w:val="none"/>
          <w:lang w:eastAsia="zh-CN"/>
        </w:rPr>
        <w:t>不超过</w:t>
      </w:r>
      <w:r>
        <w:rPr>
          <w:rFonts w:hint="eastAsia" w:ascii="仿宋_GB2312" w:hAnsi="仿宋_GB2312" w:eastAsia="仿宋_GB2312" w:cs="仿宋_GB2312"/>
          <w:sz w:val="32"/>
          <w:szCs w:val="32"/>
          <w:highlight w:val="none"/>
        </w:rPr>
        <w:t>未退出投资金额的</w:t>
      </w:r>
      <w:r>
        <w:rPr>
          <w:rFonts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rPr>
        <w:t>。</w:t>
      </w:r>
    </w:p>
    <w:p>
      <w:pPr>
        <w:pStyle w:val="17"/>
        <w:spacing w:line="360" w:lineRule="auto"/>
        <w:ind w:left="420" w:leftChars="200" w:firstLine="0" w:firstLineChars="0"/>
        <w:rPr>
          <w:rFonts w:ascii="楷体_GB2312" w:hAnsi="楷体_GB2312" w:eastAsia="楷体_GB2312" w:cs="楷体_GB2312"/>
          <w:sz w:val="32"/>
          <w:szCs w:val="32"/>
        </w:rPr>
      </w:pPr>
      <w:r>
        <w:rPr>
          <w:rFonts w:hint="eastAsia" w:ascii="楷体_GB2312" w:hAnsi="楷体_GB2312" w:eastAsia="楷体_GB2312" w:cs="楷体_GB2312"/>
          <w:sz w:val="32"/>
          <w:szCs w:val="32"/>
        </w:rPr>
        <w:t>（七）收益率及超额收益分配</w:t>
      </w:r>
    </w:p>
    <w:p>
      <w:pPr>
        <w:pStyle w:val="6"/>
        <w:shd w:val="clear" w:color="auto" w:fill="FFFFFF"/>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门槛收益率为年化不低于6%，管理人收取不高于20%的超额收益，其余按照实缴资金比例进行分配。</w:t>
      </w:r>
    </w:p>
    <w:p>
      <w:pPr>
        <w:pStyle w:val="6"/>
        <w:shd w:val="clear" w:color="auto" w:fill="FFFFFF"/>
        <w:spacing w:before="0" w:beforeAutospacing="0" w:after="0" w:afterAutospacing="0" w:line="560" w:lineRule="exact"/>
        <w:ind w:left="420" w:leftChars="200"/>
        <w:jc w:val="both"/>
        <w:rPr>
          <w:rFonts w:ascii="楷体_GB2312" w:hAnsi="楷体_GB2312" w:eastAsia="楷体_GB2312" w:cs="楷体_GB2312"/>
          <w:sz w:val="32"/>
          <w:szCs w:val="32"/>
        </w:rPr>
      </w:pPr>
      <w:r>
        <w:rPr>
          <w:rFonts w:hint="eastAsia" w:ascii="楷体_GB2312" w:hAnsi="楷体_GB2312" w:eastAsia="楷体_GB2312" w:cs="楷体_GB2312"/>
          <w:sz w:val="32"/>
          <w:szCs w:val="32"/>
        </w:rPr>
        <w:t>（八）退出机制</w:t>
      </w:r>
    </w:p>
    <w:p>
      <w:pPr>
        <w:spacing w:line="360" w:lineRule="auto"/>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基金对单个企业投资按照约定方式退出，退出方式包括但不限于所投企业IPO、并购、新三板挂牌、股权转让、公司管理层或股东回购、清算等。</w:t>
      </w:r>
    </w:p>
    <w:p>
      <w:pPr>
        <w:spacing w:line="360" w:lineRule="auto"/>
        <w:ind w:firstLine="640"/>
        <w:rPr>
          <w:rFonts w:ascii="仿宋_GB2312" w:hAnsi="仿宋_GB2312" w:eastAsia="仿宋_GB2312" w:cs="仿宋_GB2312"/>
          <w:b/>
          <w:bCs/>
          <w:color w:val="FF0000"/>
          <w:sz w:val="32"/>
          <w:szCs w:val="32"/>
        </w:rPr>
      </w:pPr>
      <w:r>
        <w:rPr>
          <w:rFonts w:hint="eastAsia" w:ascii="仿宋_GB2312" w:hAnsi="仿宋_GB2312" w:eastAsia="仿宋_GB2312" w:cs="仿宋_GB2312"/>
          <w:b/>
          <w:bCs/>
          <w:color w:val="FF0000"/>
          <w:sz w:val="32"/>
          <w:szCs w:val="32"/>
        </w:rPr>
        <w:t>（注：</w:t>
      </w:r>
      <w:r>
        <w:rPr>
          <w:rFonts w:ascii="Times New Roman" w:hAnsi="Times New Roman" w:eastAsia="仿宋_GB2312" w:cs="Times New Roman"/>
          <w:b w:val="0"/>
          <w:bCs w:val="0"/>
          <w:color w:val="FF0000"/>
          <w:kern w:val="0"/>
          <w:sz w:val="32"/>
          <w:szCs w:val="32"/>
        </w:rPr>
        <w:t>意向应聘机构</w:t>
      </w:r>
      <w:r>
        <w:rPr>
          <w:rFonts w:hint="eastAsia" w:ascii="Times New Roman" w:hAnsi="Times New Roman" w:eastAsia="仿宋_GB2312" w:cs="Times New Roman"/>
          <w:b w:val="0"/>
          <w:bCs w:val="0"/>
          <w:color w:val="FF0000"/>
          <w:kern w:val="0"/>
          <w:sz w:val="32"/>
          <w:szCs w:val="32"/>
        </w:rPr>
        <w:t>可结合自身实际，就出资比例、基金投向、返投比例、管理费、收益率及超额收益分配等核心条款在基金方案中进一步明确</w:t>
      </w:r>
      <w:r>
        <w:rPr>
          <w:rFonts w:hint="eastAsia" w:ascii="仿宋_GB2312" w:hAnsi="仿宋_GB2312" w:eastAsia="仿宋_GB2312" w:cs="仿宋_GB2312"/>
          <w:b/>
          <w:bCs/>
          <w:color w:val="FF0000"/>
          <w:sz w:val="32"/>
          <w:szCs w:val="32"/>
        </w:rPr>
        <w:t>）</w:t>
      </w:r>
      <w:bookmarkStart w:id="6" w:name="_GoBack"/>
      <w:bookmarkEnd w:id="6"/>
    </w:p>
    <w:p>
      <w:pPr>
        <w:pStyle w:val="6"/>
        <w:numPr>
          <w:ilvl w:val="0"/>
          <w:numId w:val="1"/>
        </w:numPr>
        <w:shd w:val="clear" w:color="auto" w:fill="FFFFFF"/>
        <w:spacing w:before="0" w:beforeAutospacing="0" w:after="0" w:afterAutospacing="0" w:line="560" w:lineRule="exact"/>
        <w:ind w:firstLine="640" w:firstLineChars="200"/>
        <w:jc w:val="both"/>
        <w:outlineLvl w:val="0"/>
        <w:rPr>
          <w:rFonts w:ascii="Times New Roman" w:hAnsi="Times New Roman" w:eastAsia="黑体" w:cs="Times New Roman"/>
          <w:bCs/>
          <w:sz w:val="32"/>
          <w:szCs w:val="32"/>
        </w:rPr>
      </w:pPr>
      <w:r>
        <w:rPr>
          <w:rFonts w:ascii="Times New Roman" w:hAnsi="Times New Roman" w:eastAsia="黑体" w:cs="Times New Roman"/>
          <w:bCs/>
          <w:sz w:val="32"/>
          <w:szCs w:val="32"/>
        </w:rPr>
        <w:t>申报条件</w:t>
      </w:r>
    </w:p>
    <w:p>
      <w:pPr>
        <w:pStyle w:val="6"/>
        <w:shd w:val="clear" w:color="auto" w:fill="FFFFFF"/>
        <w:spacing w:before="0" w:beforeAutospacing="0" w:after="0" w:afterAutospacing="0" w:line="560" w:lineRule="exact"/>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　　基金实行决策与管理相分离的管理体制，按照“政府引导、市场运作，科学决策、防范风险”原则进行运作，有限合伙人原则上不参与基金的日常运营管理。根据相关规定通过公开征集比选、专家评审的方式选定资本实力雄厚、投资经验丰富，熟悉</w:t>
      </w:r>
      <w:r>
        <w:rPr>
          <w:rFonts w:hint="eastAsia" w:ascii="Times New Roman" w:hAnsi="Times New Roman" w:eastAsia="仿宋_GB2312" w:cs="Times New Roman"/>
          <w:sz w:val="32"/>
          <w:szCs w:val="32"/>
        </w:rPr>
        <w:t>宛陵科创城及宣城经开区</w:t>
      </w:r>
      <w:r>
        <w:rPr>
          <w:rFonts w:ascii="Times New Roman" w:hAnsi="Times New Roman" w:eastAsia="仿宋_GB2312" w:cs="Times New Roman"/>
          <w:sz w:val="32"/>
          <w:szCs w:val="32"/>
        </w:rPr>
        <w:t>产业、企业状况的基金管理机构负责基金运作。</w:t>
      </w:r>
    </w:p>
    <w:p>
      <w:pPr>
        <w:pStyle w:val="6"/>
        <w:shd w:val="clear" w:color="auto" w:fill="FFFFFF"/>
        <w:spacing w:before="0" w:beforeAutospacing="0" w:after="0" w:afterAutospacing="0" w:line="560" w:lineRule="exact"/>
        <w:ind w:firstLine="640"/>
        <w:jc w:val="both"/>
        <w:rPr>
          <w:rFonts w:ascii="Times New Roman" w:hAnsi="Times New Roman" w:eastAsia="楷体" w:cs="Times New Roman"/>
          <w:b/>
          <w:bCs/>
          <w:sz w:val="32"/>
          <w:szCs w:val="32"/>
        </w:rPr>
      </w:pPr>
      <w:r>
        <w:rPr>
          <w:rFonts w:ascii="Times New Roman" w:hAnsi="Times New Roman" w:eastAsia="楷体" w:cs="Times New Roman"/>
          <w:b/>
          <w:bCs/>
          <w:sz w:val="32"/>
          <w:szCs w:val="32"/>
        </w:rPr>
        <w:t>拟合作基金管理机构的基本条件：</w:t>
      </w:r>
    </w:p>
    <w:p>
      <w:pPr>
        <w:pStyle w:val="6"/>
        <w:shd w:val="clear" w:color="auto" w:fill="FFFFFF"/>
        <w:spacing w:before="0" w:beforeAutospacing="0" w:after="0" w:afterAutospacing="0" w:line="560" w:lineRule="exact"/>
        <w:ind w:firstLine="640"/>
        <w:jc w:val="both"/>
        <w:outlineLvl w:val="0"/>
        <w:rPr>
          <w:rFonts w:ascii="Times New Roman" w:hAnsi="Times New Roman" w:eastAsia="楷体" w:cs="Times New Roman"/>
          <w:b/>
          <w:sz w:val="32"/>
          <w:szCs w:val="32"/>
        </w:rPr>
      </w:pPr>
      <w:r>
        <w:rPr>
          <w:rFonts w:ascii="Times New Roman" w:hAnsi="Times New Roman" w:eastAsia="楷体" w:cs="Times New Roman"/>
          <w:b/>
          <w:sz w:val="32"/>
          <w:szCs w:val="32"/>
        </w:rPr>
        <w:t>（一）</w:t>
      </w:r>
      <w:bookmarkStart w:id="0" w:name="_Hlk10037575"/>
      <w:r>
        <w:rPr>
          <w:rFonts w:ascii="Times New Roman" w:hAnsi="Times New Roman" w:eastAsia="楷体" w:cs="Times New Roman"/>
          <w:b/>
          <w:sz w:val="32"/>
          <w:szCs w:val="32"/>
        </w:rPr>
        <w:t>运营资质</w:t>
      </w:r>
    </w:p>
    <w:p>
      <w:pPr>
        <w:pStyle w:val="6"/>
        <w:shd w:val="clear" w:color="auto" w:fill="FFFFFF"/>
        <w:spacing w:before="0" w:beforeAutospacing="0" w:after="0" w:afterAutospacing="0" w:line="560" w:lineRule="exact"/>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1</w:t>
      </w:r>
      <w:bookmarkStart w:id="1" w:name="_Hlk10188090"/>
      <w:r>
        <w:rPr>
          <w:rFonts w:ascii="Times New Roman" w:hAnsi="Times New Roman" w:eastAsia="仿宋_GB2312" w:cs="Times New Roman"/>
          <w:sz w:val="32"/>
          <w:szCs w:val="32"/>
        </w:rPr>
        <w:t>．股东具有强大的综合实力或社会影响力。</w:t>
      </w:r>
      <w:bookmarkEnd w:id="0"/>
      <w:bookmarkEnd w:id="1"/>
    </w:p>
    <w:p>
      <w:pPr>
        <w:widowControl/>
        <w:spacing w:line="560" w:lineRule="exact"/>
        <w:ind w:firstLine="640" w:firstLineChars="200"/>
        <w:jc w:val="left"/>
        <w:rPr>
          <w:rFonts w:ascii="Times New Roman" w:hAnsi="Times New Roman" w:eastAsia="仿宋_GB2312" w:cs="Times New Roman"/>
          <w:sz w:val="32"/>
          <w:szCs w:val="32"/>
        </w:rPr>
      </w:pPr>
      <w:bookmarkStart w:id="2" w:name="_Hlk10190857"/>
      <w:r>
        <w:rPr>
          <w:rFonts w:ascii="Times New Roman" w:hAnsi="Times New Roman" w:eastAsia="仿宋_GB2312" w:cs="Times New Roman"/>
          <w:sz w:val="32"/>
          <w:szCs w:val="32"/>
        </w:rPr>
        <w:t>2</w:t>
      </w:r>
      <w:bookmarkStart w:id="3" w:name="_Hlk10037634"/>
      <w:r>
        <w:rPr>
          <w:rFonts w:ascii="Times New Roman" w:hAnsi="Times New Roman" w:eastAsia="仿宋_GB2312" w:cs="Times New Roman"/>
          <w:sz w:val="32"/>
          <w:szCs w:val="32"/>
        </w:rPr>
        <w:t>．具备国家规定的基金管理资质，在中国证券基金业协会履行登记和备案手续，无违法违纪等不良诚信记录。</w:t>
      </w:r>
      <w:bookmarkEnd w:id="2"/>
      <w:bookmarkEnd w:id="3"/>
    </w:p>
    <w:p>
      <w:pPr>
        <w:pStyle w:val="6"/>
        <w:shd w:val="clear" w:color="auto" w:fill="FFFFFF"/>
        <w:spacing w:before="0" w:beforeAutospacing="0" w:after="0" w:afterAutospacing="0" w:line="560" w:lineRule="exact"/>
        <w:ind w:firstLine="640"/>
        <w:jc w:val="both"/>
        <w:outlineLvl w:val="0"/>
        <w:rPr>
          <w:rFonts w:ascii="Times New Roman" w:hAnsi="Times New Roman" w:eastAsia="楷体" w:cs="Times New Roman"/>
          <w:b/>
          <w:sz w:val="32"/>
          <w:szCs w:val="32"/>
        </w:rPr>
      </w:pPr>
      <w:bookmarkStart w:id="4" w:name="_Hlk10190932"/>
      <w:r>
        <w:rPr>
          <w:rFonts w:ascii="Times New Roman" w:hAnsi="Times New Roman" w:eastAsia="楷体" w:cs="Times New Roman"/>
          <w:b/>
          <w:sz w:val="32"/>
          <w:szCs w:val="32"/>
        </w:rPr>
        <w:t>（二）管理团队</w:t>
      </w:r>
    </w:p>
    <w:p>
      <w:pPr>
        <w:pStyle w:val="6"/>
        <w:shd w:val="clear" w:color="auto" w:fill="FFFFFF"/>
        <w:spacing w:before="0" w:beforeAutospacing="0" w:after="0" w:afterAutospacing="0" w:line="560" w:lineRule="exact"/>
        <w:ind w:firstLine="640"/>
        <w:jc w:val="both"/>
        <w:rPr>
          <w:rFonts w:ascii="Times New Roman" w:hAnsi="Times New Roman" w:eastAsia="仿宋_GB2312" w:cs="Times New Roman"/>
          <w:sz w:val="32"/>
          <w:szCs w:val="32"/>
        </w:rPr>
      </w:pPr>
      <w:r>
        <w:rPr>
          <w:rFonts w:hint="eastAsia" w:ascii="Times New Roman" w:hAnsi="Times New Roman" w:eastAsia="仿宋_GB2312" w:cs="Times New Roman"/>
          <w:color w:val="auto"/>
          <w:spacing w:val="0"/>
          <w:sz w:val="32"/>
          <w:szCs w:val="32"/>
          <w:shd w:val="clear" w:color="auto" w:fill="auto"/>
        </w:rPr>
        <w:t>管理团队配备专属且稳定的管理团队。团队成员包括产业、金融、财务、法律等复合型人才，至少有</w:t>
      </w:r>
      <w:r>
        <w:rPr>
          <w:rFonts w:ascii="Times New Roman" w:hAnsi="Times New Roman" w:eastAsia="仿宋_GB2312" w:cs="Times New Roman"/>
          <w:color w:val="auto"/>
          <w:spacing w:val="0"/>
          <w:sz w:val="32"/>
          <w:szCs w:val="32"/>
          <w:shd w:val="clear" w:color="auto" w:fill="auto"/>
        </w:rPr>
        <w:t>3</w:t>
      </w:r>
      <w:r>
        <w:rPr>
          <w:rFonts w:hint="eastAsia" w:ascii="Times New Roman" w:hAnsi="Times New Roman" w:eastAsia="仿宋_GB2312" w:cs="Times New Roman"/>
          <w:color w:val="auto"/>
          <w:spacing w:val="0"/>
          <w:sz w:val="32"/>
          <w:szCs w:val="32"/>
          <w:shd w:val="clear" w:color="auto" w:fill="auto"/>
        </w:rPr>
        <w:t>名具备</w:t>
      </w:r>
      <w:r>
        <w:rPr>
          <w:rFonts w:ascii="Times New Roman" w:hAnsi="Times New Roman" w:eastAsia="仿宋_GB2312" w:cs="Times New Roman"/>
          <w:color w:val="auto"/>
          <w:spacing w:val="0"/>
          <w:sz w:val="32"/>
          <w:szCs w:val="32"/>
          <w:shd w:val="clear" w:color="auto" w:fill="auto"/>
        </w:rPr>
        <w:t>3</w:t>
      </w:r>
      <w:r>
        <w:rPr>
          <w:rFonts w:hint="eastAsia" w:ascii="Times New Roman" w:hAnsi="Times New Roman" w:eastAsia="仿宋_GB2312" w:cs="Times New Roman"/>
          <w:color w:val="auto"/>
          <w:spacing w:val="0"/>
          <w:sz w:val="32"/>
          <w:szCs w:val="32"/>
          <w:shd w:val="clear" w:color="auto" w:fill="auto"/>
        </w:rPr>
        <w:t>年以上产业项目投资经验或股权基金管理工作经验的高级管理人员</w:t>
      </w:r>
      <w:r>
        <w:rPr>
          <w:rFonts w:ascii="Times New Roman" w:hAnsi="Times New Roman" w:eastAsia="仿宋_GB2312" w:cs="Times New Roman"/>
          <w:color w:val="auto"/>
          <w:spacing w:val="0"/>
          <w:sz w:val="32"/>
          <w:szCs w:val="32"/>
          <w:shd w:val="clear" w:color="auto" w:fill="auto"/>
        </w:rPr>
        <w:t>(</w:t>
      </w:r>
      <w:r>
        <w:rPr>
          <w:rFonts w:hint="eastAsia" w:ascii="Times New Roman" w:hAnsi="Times New Roman" w:eastAsia="仿宋_GB2312" w:cs="Times New Roman"/>
          <w:color w:val="auto"/>
          <w:spacing w:val="0"/>
          <w:sz w:val="32"/>
          <w:szCs w:val="32"/>
          <w:shd w:val="clear" w:color="auto" w:fill="auto"/>
        </w:rPr>
        <w:t>至少</w:t>
      </w:r>
      <w:r>
        <w:rPr>
          <w:rFonts w:ascii="Times New Roman" w:hAnsi="Times New Roman" w:eastAsia="仿宋_GB2312" w:cs="Times New Roman"/>
          <w:color w:val="auto"/>
          <w:spacing w:val="0"/>
          <w:sz w:val="32"/>
          <w:szCs w:val="32"/>
          <w:shd w:val="clear" w:color="auto" w:fill="auto"/>
        </w:rPr>
        <w:t>1</w:t>
      </w:r>
      <w:r>
        <w:rPr>
          <w:rFonts w:hint="eastAsia" w:ascii="Times New Roman" w:hAnsi="Times New Roman" w:eastAsia="仿宋_GB2312" w:cs="Times New Roman"/>
          <w:color w:val="auto"/>
          <w:spacing w:val="0"/>
          <w:sz w:val="32"/>
          <w:szCs w:val="32"/>
          <w:shd w:val="clear" w:color="auto" w:fill="auto"/>
        </w:rPr>
        <w:t>名核心人员常驻安徽办公</w:t>
      </w:r>
      <w:r>
        <w:rPr>
          <w:rFonts w:ascii="Times New Roman" w:hAnsi="Times New Roman" w:eastAsia="仿宋_GB2312" w:cs="Times New Roman"/>
          <w:color w:val="auto"/>
          <w:spacing w:val="0"/>
          <w:sz w:val="32"/>
          <w:szCs w:val="32"/>
          <w:shd w:val="clear" w:color="auto" w:fill="auto"/>
        </w:rPr>
        <w:t>),</w:t>
      </w:r>
      <w:r>
        <w:rPr>
          <w:rFonts w:hint="eastAsia" w:ascii="Times New Roman" w:hAnsi="Times New Roman" w:eastAsia="仿宋_GB2312" w:cs="Times New Roman"/>
          <w:color w:val="auto"/>
          <w:spacing w:val="0"/>
          <w:sz w:val="32"/>
          <w:szCs w:val="32"/>
          <w:shd w:val="clear" w:color="auto" w:fill="auto"/>
        </w:rPr>
        <w:t>最近</w:t>
      </w:r>
      <w:r>
        <w:rPr>
          <w:rFonts w:ascii="Times New Roman" w:hAnsi="Times New Roman" w:eastAsia="仿宋_GB2312" w:cs="Times New Roman"/>
          <w:color w:val="auto"/>
          <w:spacing w:val="0"/>
          <w:sz w:val="32"/>
          <w:szCs w:val="32"/>
          <w:shd w:val="clear" w:color="auto" w:fill="auto"/>
        </w:rPr>
        <w:t>3</w:t>
      </w:r>
      <w:r>
        <w:rPr>
          <w:rFonts w:hint="eastAsia" w:ascii="Times New Roman" w:hAnsi="Times New Roman" w:eastAsia="仿宋_GB2312" w:cs="Times New Roman"/>
          <w:color w:val="auto"/>
          <w:spacing w:val="0"/>
          <w:sz w:val="32"/>
          <w:szCs w:val="32"/>
          <w:shd w:val="clear" w:color="auto" w:fill="auto"/>
        </w:rPr>
        <w:t>年无重大违法违规行为；管理团队主要成员未有受过行政主管机关、司法机关处罚的不良记录；在</w:t>
      </w:r>
      <w:r>
        <w:rPr>
          <w:rFonts w:ascii="Times New Roman" w:hAnsi="Times New Roman" w:eastAsia="仿宋_GB2312" w:cs="Times New Roman"/>
          <w:color w:val="auto"/>
          <w:spacing w:val="0"/>
          <w:sz w:val="32"/>
          <w:szCs w:val="32"/>
          <w:shd w:val="clear" w:color="auto" w:fill="auto"/>
        </w:rPr>
        <w:t>3</w:t>
      </w:r>
      <w:r>
        <w:rPr>
          <w:rFonts w:hint="eastAsia" w:ascii="Times New Roman" w:hAnsi="Times New Roman" w:eastAsia="仿宋_GB2312" w:cs="Times New Roman"/>
          <w:color w:val="auto"/>
          <w:spacing w:val="0"/>
          <w:sz w:val="32"/>
          <w:szCs w:val="32"/>
          <w:shd w:val="clear" w:color="auto" w:fill="auto"/>
        </w:rPr>
        <w:t>年内未受过行业自律组织处罚；</w:t>
      </w:r>
    </w:p>
    <w:p>
      <w:pPr>
        <w:pStyle w:val="6"/>
        <w:shd w:val="clear" w:color="auto" w:fill="FFFFFF"/>
        <w:spacing w:before="0" w:beforeAutospacing="0" w:after="0" w:afterAutospacing="0" w:line="560" w:lineRule="exact"/>
        <w:ind w:firstLine="640"/>
        <w:jc w:val="both"/>
        <w:outlineLvl w:val="9"/>
        <w:rPr>
          <w:rFonts w:ascii="Times New Roman" w:hAnsi="Times New Roman" w:eastAsia="仿宋_GB2312" w:cs="Times New Roman"/>
          <w:b w:val="0"/>
          <w:sz w:val="32"/>
          <w:szCs w:val="32"/>
        </w:rPr>
      </w:pPr>
      <w:r>
        <w:rPr>
          <w:rFonts w:hint="eastAsia" w:ascii="Times New Roman" w:hAnsi="Times New Roman" w:eastAsia="仿宋_GB2312" w:cs="Times New Roman"/>
          <w:b w:val="0"/>
          <w:sz w:val="32"/>
          <w:szCs w:val="32"/>
        </w:rPr>
        <w:t>（三）管理业绩</w:t>
      </w:r>
    </w:p>
    <w:p>
      <w:pPr>
        <w:pStyle w:val="6"/>
        <w:shd w:val="clear" w:color="auto" w:fill="FFFFFF"/>
        <w:spacing w:before="0" w:beforeAutospacing="0" w:after="0" w:afterAutospacing="0" w:line="560" w:lineRule="exact"/>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管理团队具有管理政府产业基金、母基金的相关经验，实际管理的基金总规模不低于5亿元。</w:t>
      </w:r>
    </w:p>
    <w:p>
      <w:pPr>
        <w:pStyle w:val="6"/>
        <w:shd w:val="clear" w:color="auto" w:fill="FFFFFF"/>
        <w:spacing w:before="0" w:beforeAutospacing="0" w:after="0" w:afterAutospacing="0" w:line="560" w:lineRule="exact"/>
        <w:ind w:firstLine="640"/>
        <w:jc w:val="both"/>
        <w:outlineLvl w:val="0"/>
        <w:rPr>
          <w:rFonts w:ascii="Times New Roman" w:hAnsi="Times New Roman" w:eastAsia="楷体" w:cs="Times New Roman"/>
          <w:b/>
          <w:sz w:val="32"/>
          <w:szCs w:val="32"/>
        </w:rPr>
      </w:pPr>
      <w:r>
        <w:rPr>
          <w:rFonts w:ascii="Times New Roman" w:hAnsi="Times New Roman" w:eastAsia="楷体" w:cs="Times New Roman"/>
          <w:b/>
          <w:sz w:val="32"/>
          <w:szCs w:val="32"/>
        </w:rPr>
        <w:t>（四）专业能力</w:t>
      </w:r>
    </w:p>
    <w:p>
      <w:pPr>
        <w:pStyle w:val="6"/>
        <w:shd w:val="clear" w:color="auto" w:fill="FFFFFF"/>
        <w:spacing w:before="0" w:beforeAutospacing="0" w:after="0" w:afterAutospacing="0" w:line="560" w:lineRule="exact"/>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管理团队的核心人员具有丰富的产业资源和投资管理经验，具备较强的专业领域的投资和研判能力。</w:t>
      </w:r>
    </w:p>
    <w:p>
      <w:pPr>
        <w:pStyle w:val="6"/>
        <w:shd w:val="clear" w:color="auto" w:fill="FFFFFF"/>
        <w:spacing w:before="0" w:beforeAutospacing="0" w:after="0" w:afterAutospacing="0" w:line="560" w:lineRule="exact"/>
        <w:ind w:firstLine="640"/>
        <w:jc w:val="both"/>
        <w:rPr>
          <w:rFonts w:ascii="Times New Roman" w:hAnsi="Times New Roman" w:eastAsia="楷体" w:cs="Times New Roman"/>
          <w:b/>
          <w:bCs/>
          <w:sz w:val="32"/>
          <w:szCs w:val="32"/>
        </w:rPr>
      </w:pPr>
      <w:r>
        <w:rPr>
          <w:rFonts w:ascii="Times New Roman" w:hAnsi="Times New Roman" w:eastAsia="楷体" w:cs="Times New Roman"/>
          <w:b/>
          <w:bCs/>
          <w:sz w:val="32"/>
          <w:szCs w:val="32"/>
        </w:rPr>
        <w:t>（五）管理机制</w:t>
      </w:r>
    </w:p>
    <w:p>
      <w:pPr>
        <w:pStyle w:val="6"/>
        <w:shd w:val="clear" w:color="auto" w:fill="FFFFFF"/>
        <w:spacing w:before="0" w:beforeAutospacing="0" w:after="0" w:afterAutospacing="0" w:line="560" w:lineRule="exact"/>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管理团队具备规范的项目准入机制和严格的投资决策程序，健全的产业投资管理和风险控制流程，完备的投资管理制度、完整的投资档案体系及健全的财务管理制度。</w:t>
      </w:r>
    </w:p>
    <w:p>
      <w:pPr>
        <w:pStyle w:val="6"/>
        <w:numPr>
          <w:ilvl w:val="0"/>
          <w:numId w:val="1"/>
        </w:numPr>
        <w:shd w:val="clear" w:color="auto" w:fill="FFFFFF"/>
        <w:spacing w:before="0" w:beforeAutospacing="0" w:after="0" w:afterAutospacing="0" w:line="560" w:lineRule="exact"/>
        <w:ind w:firstLine="640" w:firstLineChars="200"/>
        <w:jc w:val="both"/>
        <w:rPr>
          <w:rFonts w:ascii="Times New Roman" w:hAnsi="Times New Roman" w:eastAsia="黑体" w:cs="Times New Roman"/>
          <w:bCs/>
          <w:sz w:val="32"/>
          <w:szCs w:val="32"/>
        </w:rPr>
      </w:pPr>
      <w:r>
        <w:rPr>
          <w:rFonts w:ascii="Times New Roman" w:hAnsi="Times New Roman" w:eastAsia="黑体" w:cs="Times New Roman"/>
          <w:bCs/>
          <w:sz w:val="32"/>
          <w:szCs w:val="32"/>
        </w:rPr>
        <w:t>比选要点</w:t>
      </w:r>
    </w:p>
    <w:p>
      <w:pPr>
        <w:pStyle w:val="6"/>
        <w:shd w:val="clear" w:color="auto" w:fill="FFFFFF"/>
        <w:spacing w:before="0" w:beforeAutospacing="0" w:after="0" w:afterAutospacing="0" w:line="560" w:lineRule="exact"/>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下述条件作为评审委员会打分依据及申报机构优先被选择的因素。</w:t>
      </w:r>
    </w:p>
    <w:p>
      <w:pPr>
        <w:pStyle w:val="6"/>
        <w:shd w:val="clear" w:color="auto" w:fill="FFFFFF"/>
        <w:spacing w:before="0" w:beforeAutospacing="0" w:after="0" w:afterAutospacing="0" w:line="560" w:lineRule="exact"/>
        <w:ind w:firstLine="640"/>
        <w:jc w:val="both"/>
        <w:rPr>
          <w:rFonts w:ascii="楷体_GB2312" w:hAnsi="楷体_GB2312" w:eastAsia="楷体_GB2312" w:cs="楷体_GB2312"/>
          <w:sz w:val="32"/>
          <w:szCs w:val="32"/>
        </w:rPr>
      </w:pPr>
      <w:r>
        <w:rPr>
          <w:rFonts w:hint="eastAsia" w:ascii="楷体_GB2312" w:hAnsi="楷体_GB2312" w:eastAsia="楷体_GB2312" w:cs="楷体_GB2312"/>
          <w:sz w:val="32"/>
          <w:szCs w:val="32"/>
        </w:rPr>
        <w:t>（一）</w:t>
      </w:r>
      <w:r>
        <w:rPr>
          <w:rFonts w:ascii="Times New Roman" w:hAnsi="Times New Roman" w:eastAsia="仿宋_GB2312" w:cs="Times New Roman"/>
          <w:sz w:val="32"/>
          <w:szCs w:val="32"/>
        </w:rPr>
        <w:t>在中国证券投资基金业协会完成私募基金管理人登记三年以上，已有私募股权投资基金产品在中国证券投资基金业协会完成备案。</w:t>
      </w:r>
    </w:p>
    <w:p>
      <w:pPr>
        <w:pStyle w:val="6"/>
        <w:shd w:val="clear" w:color="auto" w:fill="FFFFFF"/>
        <w:spacing w:before="0" w:beforeAutospacing="0" w:after="0" w:afterAutospacing="0" w:line="560" w:lineRule="exact"/>
        <w:ind w:firstLine="640"/>
        <w:jc w:val="both"/>
        <w:rPr>
          <w:rFonts w:ascii="楷体_GB2312" w:hAnsi="楷体_GB2312" w:eastAsia="楷体_GB2312" w:cs="楷体_GB2312"/>
          <w:sz w:val="32"/>
          <w:szCs w:val="32"/>
        </w:rPr>
      </w:pPr>
      <w:r>
        <w:rPr>
          <w:rFonts w:hint="eastAsia" w:ascii="楷体_GB2312" w:hAnsi="楷体_GB2312" w:eastAsia="楷体_GB2312" w:cs="楷体_GB2312"/>
          <w:sz w:val="32"/>
          <w:szCs w:val="32"/>
        </w:rPr>
        <w:t>（二）</w:t>
      </w:r>
      <w:r>
        <w:rPr>
          <w:rFonts w:ascii="Times New Roman" w:hAnsi="Times New Roman" w:eastAsia="仿宋_GB2312" w:cs="Times New Roman"/>
          <w:sz w:val="32"/>
          <w:szCs w:val="32"/>
        </w:rPr>
        <w:t>至少完成两个基金的退出，且无亏损情况。基金管理人实际在管的基金需有不低于一个IPO成功上市的项目。</w:t>
      </w:r>
    </w:p>
    <w:p>
      <w:pPr>
        <w:pStyle w:val="6"/>
        <w:shd w:val="clear" w:color="auto" w:fill="FFFFFF"/>
        <w:spacing w:before="0" w:beforeAutospacing="0" w:after="0" w:afterAutospacing="0" w:line="560" w:lineRule="exact"/>
        <w:ind w:firstLine="640"/>
        <w:jc w:val="both"/>
        <w:rPr>
          <w:rFonts w:ascii="楷体_GB2312" w:hAnsi="楷体_GB2312" w:eastAsia="楷体_GB2312" w:cs="楷体_GB2312"/>
          <w:sz w:val="32"/>
          <w:szCs w:val="32"/>
        </w:rPr>
      </w:pPr>
      <w:r>
        <w:rPr>
          <w:rFonts w:hint="eastAsia" w:ascii="楷体_GB2312" w:hAnsi="楷体_GB2312" w:eastAsia="楷体_GB2312" w:cs="楷体_GB2312"/>
          <w:sz w:val="32"/>
          <w:szCs w:val="32"/>
        </w:rPr>
        <w:t>（三）</w:t>
      </w:r>
      <w:r>
        <w:rPr>
          <w:rFonts w:ascii="Times New Roman" w:hAnsi="Times New Roman" w:eastAsia="仿宋_GB2312" w:cs="Times New Roman"/>
          <w:sz w:val="32"/>
          <w:szCs w:val="32"/>
        </w:rPr>
        <w:t>管理团队实际管理基金需有不低于三个IPO成功上市或被上市公司并购项目。</w:t>
      </w:r>
    </w:p>
    <w:p>
      <w:pPr>
        <w:pStyle w:val="6"/>
        <w:shd w:val="clear" w:color="auto" w:fill="FFFFFF"/>
        <w:spacing w:before="0" w:beforeAutospacing="0" w:after="0" w:afterAutospacing="0" w:line="560" w:lineRule="exact"/>
        <w:ind w:firstLine="640"/>
        <w:jc w:val="both"/>
        <w:rPr>
          <w:rFonts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（四）</w:t>
      </w:r>
      <w:r>
        <w:rPr>
          <w:rFonts w:ascii="Times New Roman" w:hAnsi="Times New Roman" w:eastAsia="仿宋_GB2312" w:cs="Times New Roman"/>
          <w:b w:val="0"/>
          <w:bCs w:val="0"/>
          <w:sz w:val="32"/>
          <w:szCs w:val="32"/>
        </w:rPr>
        <w:t>有与院士、国家千人计划高层次人才、知名科学家等行业专家成功合作案例。</w:t>
      </w:r>
    </w:p>
    <w:p>
      <w:pPr>
        <w:pStyle w:val="6"/>
        <w:shd w:val="clear" w:color="auto" w:fill="FFFFFF"/>
        <w:spacing w:before="0" w:beforeAutospacing="0" w:after="0" w:afterAutospacing="0" w:line="560" w:lineRule="exact"/>
        <w:ind w:firstLine="640"/>
        <w:jc w:val="both"/>
        <w:rPr>
          <w:rFonts w:ascii="Times New Roman" w:hAnsi="Times New Roman" w:eastAsia="仿宋_GB2312" w:cs="Times New Roman"/>
          <w:sz w:val="32"/>
          <w:szCs w:val="32"/>
        </w:rPr>
      </w:pPr>
      <w:r>
        <w:rPr>
          <w:rFonts w:hint="eastAsia" w:ascii="楷体_GB2312" w:hAnsi="楷体_GB2312" w:eastAsia="楷体_GB2312" w:cs="楷体_GB2312"/>
          <w:sz w:val="32"/>
          <w:szCs w:val="32"/>
        </w:rPr>
        <w:t>（五）</w:t>
      </w:r>
      <w:r>
        <w:rPr>
          <w:rFonts w:ascii="Times New Roman" w:hAnsi="Times New Roman" w:eastAsia="仿宋_GB2312" w:cs="Times New Roman"/>
          <w:sz w:val="32"/>
          <w:szCs w:val="32"/>
        </w:rPr>
        <w:t>具备</w:t>
      </w:r>
      <w:r>
        <w:rPr>
          <w:rFonts w:hint="eastAsia" w:ascii="Times New Roman" w:hAnsi="Times New Roman" w:eastAsia="仿宋_GB2312" w:cs="Times New Roman"/>
          <w:sz w:val="32"/>
          <w:szCs w:val="32"/>
        </w:rPr>
        <w:t>新能源新材料</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汽车零部件</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高端装备制造、食品医药</w:t>
      </w:r>
      <w:r>
        <w:rPr>
          <w:rFonts w:hint="eastAsia" w:ascii="仿宋_GB2312" w:hAnsi="仿宋_GB2312" w:eastAsia="仿宋_GB2312" w:cs="仿宋_GB2312"/>
          <w:sz w:val="32"/>
          <w:szCs w:val="32"/>
        </w:rPr>
        <w:t>、物联网、大数据、人工智能、5G新基建</w:t>
      </w:r>
      <w:r>
        <w:rPr>
          <w:rFonts w:hint="eastAsia" w:ascii="Times New Roman" w:hAnsi="Times New Roman" w:eastAsia="仿宋_GB2312" w:cs="Times New Roman"/>
          <w:sz w:val="32"/>
          <w:szCs w:val="32"/>
        </w:rPr>
        <w:t>等</w:t>
      </w:r>
      <w:r>
        <w:rPr>
          <w:rFonts w:ascii="Times New Roman" w:hAnsi="Times New Roman" w:eastAsia="仿宋_GB2312" w:cs="Times New Roman"/>
          <w:sz w:val="32"/>
          <w:szCs w:val="32"/>
        </w:rPr>
        <w:t>专业技术背景，且能带动相关产业落地，帮助地方政府打造产业集群，提升产业能级。</w:t>
      </w:r>
    </w:p>
    <w:p>
      <w:pPr>
        <w:pStyle w:val="6"/>
        <w:shd w:val="clear" w:color="auto" w:fill="FFFFFF"/>
        <w:spacing w:before="0" w:beforeAutospacing="0" w:after="0" w:afterAutospacing="0" w:line="560" w:lineRule="exact"/>
        <w:ind w:firstLine="64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（六）基金方案，含出资比例、基金投向、返投比例、管理费、收益率及超额收益分配等。</w:t>
      </w:r>
    </w:p>
    <w:bookmarkEnd w:id="4"/>
    <w:p>
      <w:pPr>
        <w:pStyle w:val="6"/>
        <w:numPr>
          <w:ilvl w:val="0"/>
          <w:numId w:val="1"/>
        </w:numPr>
        <w:shd w:val="clear" w:color="auto" w:fill="FFFFFF"/>
        <w:spacing w:before="0" w:beforeAutospacing="0" w:after="0" w:afterAutospacing="0" w:line="560" w:lineRule="exact"/>
        <w:ind w:firstLine="640" w:firstLineChars="200"/>
        <w:jc w:val="both"/>
        <w:outlineLvl w:val="0"/>
        <w:rPr>
          <w:rFonts w:ascii="Times New Roman" w:hAnsi="Times New Roman" w:eastAsia="黑体" w:cs="Times New Roman"/>
          <w:bCs/>
          <w:sz w:val="32"/>
          <w:szCs w:val="32"/>
        </w:rPr>
      </w:pPr>
      <w:r>
        <w:rPr>
          <w:rFonts w:ascii="Times New Roman" w:hAnsi="Times New Roman" w:eastAsia="黑体" w:cs="Times New Roman"/>
          <w:bCs/>
          <w:sz w:val="32"/>
          <w:szCs w:val="32"/>
        </w:rPr>
        <w:t>比选程序</w:t>
      </w:r>
    </w:p>
    <w:p>
      <w:pPr>
        <w:pStyle w:val="6"/>
        <w:shd w:val="clear" w:color="auto" w:fill="FFFFFF"/>
        <w:spacing w:before="0" w:beforeAutospacing="0" w:after="0" w:afterAutospacing="0" w:line="560" w:lineRule="exact"/>
        <w:ind w:firstLine="64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按照“比选公告、报送材料、</w:t>
      </w:r>
      <w:r>
        <w:rPr>
          <w:rFonts w:hint="eastAsia" w:ascii="Times New Roman" w:hAnsi="Times New Roman" w:eastAsia="仿宋_GB2312" w:cs="Times New Roman"/>
          <w:sz w:val="32"/>
          <w:szCs w:val="32"/>
          <w:lang w:eastAsia="zh-CN"/>
        </w:rPr>
        <w:t>材料初审、</w:t>
      </w:r>
      <w:r>
        <w:rPr>
          <w:rFonts w:ascii="Times New Roman" w:hAnsi="Times New Roman" w:eastAsia="仿宋_GB2312" w:cs="Times New Roman"/>
          <w:sz w:val="32"/>
          <w:szCs w:val="32"/>
        </w:rPr>
        <w:t>现场评审</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结果公示”</w:t>
      </w:r>
      <w:r>
        <w:rPr>
          <w:rFonts w:hint="eastAsia" w:ascii="Times New Roman" w:hAnsi="Times New Roman" w:eastAsia="仿宋_GB2312" w:cs="Times New Roman"/>
          <w:sz w:val="32"/>
          <w:szCs w:val="32"/>
          <w:lang w:eastAsia="zh-CN"/>
        </w:rPr>
        <w:t>等</w:t>
      </w:r>
      <w:r>
        <w:rPr>
          <w:rFonts w:ascii="Times New Roman" w:hAnsi="Times New Roman" w:eastAsia="仿宋_GB2312" w:cs="Times New Roman"/>
          <w:sz w:val="32"/>
          <w:szCs w:val="32"/>
        </w:rPr>
        <w:t>流程进行。</w:t>
      </w:r>
    </w:p>
    <w:p>
      <w:pPr>
        <w:spacing w:line="560" w:lineRule="exact"/>
        <w:ind w:firstLine="643" w:firstLineChars="200"/>
        <w:outlineLvl w:val="0"/>
        <w:rPr>
          <w:rFonts w:ascii="楷体_GB2312" w:hAnsi="楷体_GB2312" w:eastAsia="楷体_GB2312" w:cs="楷体_GB2312"/>
          <w:b/>
          <w:kern w:val="0"/>
          <w:sz w:val="32"/>
          <w:szCs w:val="32"/>
        </w:rPr>
      </w:pPr>
      <w:r>
        <w:rPr>
          <w:rFonts w:hint="eastAsia" w:ascii="楷体_GB2312" w:hAnsi="楷体_GB2312" w:eastAsia="楷体_GB2312" w:cs="楷体_GB2312"/>
          <w:b/>
          <w:kern w:val="0"/>
          <w:sz w:val="32"/>
          <w:szCs w:val="32"/>
        </w:rPr>
        <w:t>（一）比选公告</w:t>
      </w:r>
    </w:p>
    <w:p>
      <w:pPr>
        <w:spacing w:line="56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本公告在</w:t>
      </w:r>
      <w:r>
        <w:rPr>
          <w:rFonts w:hint="eastAsia" w:ascii="Times New Roman" w:hAnsi="Times New Roman" w:eastAsia="仿宋_GB2312" w:cs="Times New Roman"/>
          <w:kern w:val="0"/>
          <w:sz w:val="32"/>
          <w:szCs w:val="32"/>
          <w:lang w:eastAsia="zh-CN"/>
        </w:rPr>
        <w:t>宣城经开区、</w:t>
      </w:r>
      <w:r>
        <w:rPr>
          <w:rFonts w:hint="eastAsia" w:ascii="Times New Roman" w:hAnsi="Times New Roman" w:eastAsia="仿宋_GB2312" w:cs="Times New Roman"/>
          <w:kern w:val="0"/>
          <w:sz w:val="32"/>
          <w:szCs w:val="32"/>
        </w:rPr>
        <w:t>宛陵科创城</w:t>
      </w:r>
      <w:r>
        <w:rPr>
          <w:rFonts w:ascii="Times New Roman" w:hAnsi="Times New Roman" w:eastAsia="仿宋_GB2312" w:cs="Times New Roman"/>
          <w:sz w:val="32"/>
          <w:szCs w:val="32"/>
        </w:rPr>
        <w:t>官方网站</w:t>
      </w:r>
      <w:r>
        <w:rPr>
          <w:rFonts w:ascii="Times New Roman" w:hAnsi="Times New Roman" w:eastAsia="仿宋_GB2312" w:cs="Times New Roman"/>
          <w:kern w:val="0"/>
          <w:sz w:val="32"/>
          <w:szCs w:val="32"/>
        </w:rPr>
        <w:t>公告，公告期5天。</w:t>
      </w:r>
    </w:p>
    <w:p>
      <w:pPr>
        <w:spacing w:line="560" w:lineRule="exact"/>
        <w:ind w:firstLine="643" w:firstLineChars="200"/>
        <w:outlineLvl w:val="0"/>
        <w:rPr>
          <w:rFonts w:ascii="Times New Roman" w:hAnsi="Times New Roman" w:eastAsia="楷体" w:cs="Times New Roman"/>
          <w:b/>
          <w:kern w:val="0"/>
          <w:sz w:val="32"/>
          <w:szCs w:val="32"/>
        </w:rPr>
      </w:pPr>
      <w:r>
        <w:rPr>
          <w:rFonts w:ascii="Times New Roman" w:hAnsi="Times New Roman" w:eastAsia="楷体" w:cs="Times New Roman"/>
          <w:b/>
          <w:kern w:val="0"/>
          <w:sz w:val="32"/>
          <w:szCs w:val="32"/>
        </w:rPr>
        <w:t>（二）报送材料</w:t>
      </w:r>
    </w:p>
    <w:p>
      <w:pPr>
        <w:spacing w:line="56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报送材料（详见附件</w:t>
      </w:r>
      <w:r>
        <w:rPr>
          <w:rFonts w:hint="eastAsia" w:ascii="Times New Roman" w:hAnsi="Times New Roman" w:eastAsia="仿宋_GB2312" w:cs="Times New Roman"/>
          <w:kern w:val="0"/>
          <w:sz w:val="32"/>
          <w:szCs w:val="32"/>
        </w:rPr>
        <w:t>1、附件2</w:t>
      </w:r>
      <w:r>
        <w:rPr>
          <w:rFonts w:ascii="Times New Roman" w:hAnsi="Times New Roman" w:eastAsia="仿宋_GB2312" w:cs="Times New Roman"/>
          <w:kern w:val="0"/>
          <w:sz w:val="32"/>
          <w:szCs w:val="32"/>
        </w:rPr>
        <w:t>）。符合条件且有意向的应聘机构应在公告期结束后5日内，向</w:t>
      </w:r>
      <w:r>
        <w:rPr>
          <w:rFonts w:hint="eastAsia" w:ascii="Times New Roman" w:hAnsi="Times New Roman" w:eastAsia="仿宋_GB2312" w:cs="Times New Roman"/>
          <w:kern w:val="0"/>
          <w:sz w:val="32"/>
          <w:szCs w:val="32"/>
        </w:rPr>
        <w:t>宛陵科创</w:t>
      </w:r>
      <w:r>
        <w:rPr>
          <w:rFonts w:ascii="Times New Roman" w:hAnsi="Times New Roman" w:eastAsia="仿宋_GB2312" w:cs="Times New Roman"/>
          <w:kern w:val="0"/>
          <w:sz w:val="32"/>
          <w:szCs w:val="32"/>
        </w:rPr>
        <w:t>公司提交相关材料。</w:t>
      </w:r>
    </w:p>
    <w:p>
      <w:pPr>
        <w:spacing w:line="560" w:lineRule="exact"/>
        <w:ind w:firstLine="643" w:firstLineChars="200"/>
        <w:outlineLvl w:val="0"/>
        <w:rPr>
          <w:rFonts w:ascii="Times New Roman" w:hAnsi="Times New Roman" w:eastAsia="楷体" w:cs="Times New Roman"/>
          <w:b/>
          <w:kern w:val="0"/>
          <w:sz w:val="32"/>
          <w:szCs w:val="32"/>
        </w:rPr>
      </w:pPr>
      <w:r>
        <w:rPr>
          <w:rFonts w:ascii="Times New Roman" w:hAnsi="Times New Roman" w:eastAsia="楷体" w:cs="Times New Roman"/>
          <w:b/>
          <w:kern w:val="0"/>
          <w:sz w:val="32"/>
          <w:szCs w:val="32"/>
        </w:rPr>
        <w:t>（三）材料初审</w:t>
      </w:r>
    </w:p>
    <w:p>
      <w:pPr>
        <w:spacing w:line="560" w:lineRule="exact"/>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公司</w:t>
      </w:r>
      <w:r>
        <w:rPr>
          <w:rFonts w:ascii="Times New Roman" w:hAnsi="Times New Roman" w:eastAsia="仿宋_GB2312" w:cs="Times New Roman"/>
          <w:kern w:val="0"/>
          <w:sz w:val="32"/>
          <w:szCs w:val="32"/>
        </w:rPr>
        <w:t>对申报材料进行初审，确定3家</w:t>
      </w:r>
      <w:r>
        <w:rPr>
          <w:rFonts w:hint="eastAsia" w:ascii="Times New Roman" w:hAnsi="Times New Roman" w:eastAsia="仿宋_GB2312" w:cs="Times New Roman"/>
          <w:kern w:val="0"/>
          <w:sz w:val="32"/>
          <w:szCs w:val="32"/>
        </w:rPr>
        <w:t>及以上</w:t>
      </w:r>
      <w:r>
        <w:rPr>
          <w:rFonts w:ascii="Times New Roman" w:hAnsi="Times New Roman" w:eastAsia="仿宋_GB2312" w:cs="Times New Roman"/>
          <w:kern w:val="0"/>
          <w:sz w:val="32"/>
          <w:szCs w:val="32"/>
        </w:rPr>
        <w:t>申报单位（如符合条件的申报单位不足3家，则延长报送期，至满足3家为止）进入现场评审环节。</w:t>
      </w:r>
    </w:p>
    <w:p>
      <w:pPr>
        <w:spacing w:line="560" w:lineRule="exact"/>
        <w:ind w:firstLine="643" w:firstLineChars="200"/>
        <w:outlineLvl w:val="0"/>
        <w:rPr>
          <w:rFonts w:ascii="Times New Roman" w:hAnsi="Times New Roman" w:eastAsia="楷体" w:cs="Times New Roman"/>
          <w:b/>
          <w:kern w:val="0"/>
          <w:sz w:val="32"/>
          <w:szCs w:val="32"/>
        </w:rPr>
      </w:pPr>
      <w:r>
        <w:rPr>
          <w:rFonts w:ascii="Times New Roman" w:hAnsi="Times New Roman" w:eastAsia="楷体" w:cs="Times New Roman"/>
          <w:b/>
          <w:kern w:val="0"/>
          <w:sz w:val="32"/>
          <w:szCs w:val="32"/>
        </w:rPr>
        <w:t>（四）现场评审</w:t>
      </w:r>
    </w:p>
    <w:p>
      <w:pPr>
        <w:spacing w:line="560" w:lineRule="exact"/>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宛陵科创城公司</w:t>
      </w:r>
      <w:r>
        <w:rPr>
          <w:rFonts w:ascii="Times New Roman" w:hAnsi="Times New Roman" w:eastAsia="仿宋_GB2312" w:cs="Times New Roman"/>
          <w:kern w:val="0"/>
          <w:sz w:val="32"/>
          <w:szCs w:val="32"/>
        </w:rPr>
        <w:t>召集评审委员会，对符合初审条件的申报机构进行现场评审。评委基于申报机构</w:t>
      </w:r>
      <w:r>
        <w:rPr>
          <w:rFonts w:hint="eastAsia" w:ascii="Times New Roman" w:hAnsi="Times New Roman" w:eastAsia="仿宋_GB2312" w:cs="Times New Roman"/>
          <w:kern w:val="0"/>
          <w:sz w:val="32"/>
          <w:szCs w:val="32"/>
        </w:rPr>
        <w:t>的</w:t>
      </w:r>
      <w:r>
        <w:rPr>
          <w:rFonts w:ascii="Times New Roman" w:hAnsi="Times New Roman" w:eastAsia="仿宋_GB2312" w:cs="Times New Roman"/>
          <w:kern w:val="0"/>
          <w:sz w:val="32"/>
          <w:szCs w:val="32"/>
        </w:rPr>
        <w:t>申报材料内容，按一定的评选标准进行评价，按综合得分进行排名（评分细则见附件</w:t>
      </w:r>
      <w:r>
        <w:rPr>
          <w:rFonts w:hint="eastAsia" w:ascii="Times New Roman" w:hAnsi="Times New Roman" w:eastAsia="仿宋_GB2312" w:cs="Times New Roman"/>
          <w:kern w:val="0"/>
          <w:sz w:val="32"/>
          <w:szCs w:val="32"/>
        </w:rPr>
        <w:t>3</w:t>
      </w:r>
      <w:r>
        <w:rPr>
          <w:rFonts w:ascii="Times New Roman" w:hAnsi="Times New Roman" w:eastAsia="仿宋_GB2312" w:cs="Times New Roman"/>
          <w:kern w:val="0"/>
          <w:sz w:val="32"/>
          <w:szCs w:val="32"/>
        </w:rPr>
        <w:t>）。由评审委员会根据评审得分情况给出基金管理人候选机构名单建议。</w:t>
      </w:r>
    </w:p>
    <w:p>
      <w:pPr>
        <w:spacing w:line="560" w:lineRule="exact"/>
        <w:ind w:firstLine="643" w:firstLineChars="200"/>
        <w:outlineLvl w:val="0"/>
        <w:rPr>
          <w:rFonts w:ascii="Times New Roman" w:hAnsi="Times New Roman" w:eastAsia="楷体" w:cs="Times New Roman"/>
          <w:b/>
          <w:kern w:val="0"/>
          <w:sz w:val="32"/>
          <w:szCs w:val="32"/>
        </w:rPr>
      </w:pPr>
      <w:r>
        <w:rPr>
          <w:rFonts w:ascii="Times New Roman" w:hAnsi="Times New Roman" w:eastAsia="楷体" w:cs="Times New Roman"/>
          <w:b/>
          <w:kern w:val="0"/>
          <w:sz w:val="32"/>
          <w:szCs w:val="32"/>
        </w:rPr>
        <w:t>（五）结果公示</w:t>
      </w:r>
    </w:p>
    <w:p>
      <w:pPr>
        <w:spacing w:line="560" w:lineRule="exact"/>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候选机构名单经</w:t>
      </w:r>
      <w:r>
        <w:rPr>
          <w:rFonts w:hint="eastAsia" w:ascii="Times New Roman" w:hAnsi="Times New Roman" w:eastAsia="仿宋_GB2312" w:cs="Times New Roman"/>
          <w:kern w:val="0"/>
          <w:sz w:val="32"/>
          <w:szCs w:val="32"/>
        </w:rPr>
        <w:t>宛陵科创</w:t>
      </w:r>
      <w:r>
        <w:rPr>
          <w:rFonts w:ascii="Times New Roman" w:hAnsi="Times New Roman" w:eastAsia="仿宋_GB2312" w:cs="Times New Roman"/>
          <w:kern w:val="0"/>
          <w:sz w:val="32"/>
          <w:szCs w:val="32"/>
        </w:rPr>
        <w:t>公司审定后，将比选出的基金管理人机构名单向社会进行公示，公示期为5个工作日。公示有异议的，启动相关调查程序。公示期满无异议</w:t>
      </w:r>
      <w:r>
        <w:rPr>
          <w:rFonts w:hint="eastAsia" w:ascii="Times New Roman" w:hAnsi="Times New Roman" w:eastAsia="仿宋_GB2312" w:cs="Times New Roman"/>
          <w:kern w:val="0"/>
          <w:sz w:val="32"/>
          <w:szCs w:val="32"/>
        </w:rPr>
        <w:t>并报主管部门批准后</w:t>
      </w:r>
      <w:r>
        <w:rPr>
          <w:rFonts w:ascii="Times New Roman" w:hAnsi="Times New Roman" w:eastAsia="仿宋_GB2312" w:cs="Times New Roman"/>
          <w:kern w:val="0"/>
          <w:sz w:val="32"/>
          <w:szCs w:val="32"/>
        </w:rPr>
        <w:t>确定为基金管理机构。</w:t>
      </w:r>
    </w:p>
    <w:p>
      <w:pPr>
        <w:pStyle w:val="6"/>
        <w:numPr>
          <w:ilvl w:val="0"/>
          <w:numId w:val="1"/>
        </w:numPr>
        <w:shd w:val="clear" w:color="auto" w:fill="FFFFFF"/>
        <w:spacing w:before="0" w:beforeAutospacing="0" w:after="0" w:afterAutospacing="0" w:line="560" w:lineRule="exact"/>
        <w:ind w:firstLine="640" w:firstLineChars="200"/>
        <w:jc w:val="both"/>
        <w:outlineLvl w:val="0"/>
        <w:rPr>
          <w:rFonts w:ascii="Times New Roman" w:hAnsi="Times New Roman" w:eastAsia="黑体" w:cs="Times New Roman"/>
          <w:bCs/>
          <w:sz w:val="32"/>
          <w:szCs w:val="32"/>
        </w:rPr>
      </w:pPr>
      <w:r>
        <w:rPr>
          <w:rFonts w:ascii="Times New Roman" w:hAnsi="Times New Roman" w:eastAsia="黑体" w:cs="Times New Roman"/>
          <w:bCs/>
          <w:sz w:val="32"/>
          <w:szCs w:val="32"/>
        </w:rPr>
        <w:t>其他事项</w:t>
      </w: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r>
        <w:rPr>
          <w:rFonts w:ascii="Times New Roman" w:hAnsi="Times New Roman" w:eastAsia="楷体_GB2312" w:cs="Times New Roman"/>
          <w:sz w:val="32"/>
          <w:szCs w:val="32"/>
        </w:rPr>
        <w:t>（一）</w:t>
      </w:r>
      <w:r>
        <w:rPr>
          <w:rFonts w:ascii="Times New Roman" w:hAnsi="Times New Roman" w:eastAsia="仿宋_GB2312" w:cs="Times New Roman"/>
          <w:sz w:val="32"/>
          <w:szCs w:val="32"/>
        </w:rPr>
        <w:t>申报机构应当据实报送有关材料，对于提供虚假材料的申报机构，将取消其资格。</w:t>
      </w: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r>
        <w:rPr>
          <w:rFonts w:ascii="Times New Roman" w:hAnsi="Times New Roman" w:eastAsia="楷体_GB2312" w:cs="Times New Roman"/>
          <w:sz w:val="32"/>
          <w:szCs w:val="32"/>
        </w:rPr>
        <w:t>（二）</w:t>
      </w:r>
      <w:r>
        <w:rPr>
          <w:rFonts w:ascii="Times New Roman" w:hAnsi="Times New Roman" w:eastAsia="仿宋_GB2312" w:cs="Times New Roman"/>
          <w:sz w:val="32"/>
          <w:szCs w:val="32"/>
        </w:rPr>
        <w:t>本次申报收取的材料不做退回处理。</w:t>
      </w: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r>
        <w:rPr>
          <w:rFonts w:ascii="Times New Roman" w:hAnsi="Times New Roman" w:eastAsia="楷体_GB2312" w:cs="Times New Roman"/>
          <w:sz w:val="32"/>
          <w:szCs w:val="32"/>
        </w:rPr>
        <w:t>（三）</w:t>
      </w:r>
      <w:r>
        <w:rPr>
          <w:rFonts w:ascii="Times New Roman" w:hAnsi="Times New Roman" w:eastAsia="仿宋_GB2312" w:cs="Times New Roman"/>
          <w:sz w:val="32"/>
          <w:szCs w:val="32"/>
        </w:rPr>
        <w:t>本公告仅是一种邀请行为，最终以基金合伙协议为准。</w:t>
      </w: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r>
        <w:rPr>
          <w:rFonts w:ascii="Times New Roman" w:hAnsi="Times New Roman" w:eastAsia="楷体_GB2312" w:cs="Times New Roman"/>
          <w:sz w:val="32"/>
          <w:szCs w:val="32"/>
        </w:rPr>
        <w:t>（四）</w:t>
      </w:r>
      <w:r>
        <w:rPr>
          <w:rFonts w:hint="eastAsia" w:ascii="Times New Roman" w:hAnsi="Times New Roman" w:eastAsia="仿宋_GB2312" w:cs="Times New Roman"/>
          <w:sz w:val="32"/>
          <w:szCs w:val="32"/>
        </w:rPr>
        <w:t>宣城宛陵科创建设投资有限公司</w:t>
      </w:r>
      <w:r>
        <w:rPr>
          <w:rFonts w:ascii="Times New Roman" w:hAnsi="Times New Roman" w:eastAsia="仿宋_GB2312" w:cs="Times New Roman"/>
          <w:sz w:val="32"/>
          <w:szCs w:val="32"/>
        </w:rPr>
        <w:t>对比选相关事项拥有最终解释权。</w:t>
      </w:r>
    </w:p>
    <w:p>
      <w:pPr>
        <w:pStyle w:val="6"/>
        <w:numPr>
          <w:ilvl w:val="0"/>
          <w:numId w:val="1"/>
        </w:numPr>
        <w:shd w:val="clear" w:color="auto" w:fill="FFFFFF"/>
        <w:spacing w:before="0" w:beforeAutospacing="0" w:after="0" w:afterAutospacing="0" w:line="560" w:lineRule="exact"/>
        <w:ind w:firstLine="640" w:firstLineChars="200"/>
        <w:jc w:val="both"/>
        <w:rPr>
          <w:rFonts w:ascii="Times New Roman" w:hAnsi="Times New Roman" w:eastAsia="黑体" w:cs="Times New Roman"/>
          <w:bCs/>
          <w:sz w:val="32"/>
          <w:szCs w:val="32"/>
        </w:rPr>
      </w:pPr>
      <w:r>
        <w:rPr>
          <w:rFonts w:ascii="Times New Roman" w:hAnsi="Times New Roman" w:eastAsia="黑体" w:cs="Times New Roman"/>
          <w:bCs/>
          <w:sz w:val="32"/>
          <w:szCs w:val="32"/>
        </w:rPr>
        <w:t>联系方式</w:t>
      </w: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符合条件且有意向的应聘机构请在公告期结束后5日内，向</w:t>
      </w:r>
      <w:r>
        <w:rPr>
          <w:rFonts w:hint="eastAsia" w:ascii="Times New Roman" w:hAnsi="Times New Roman" w:eastAsia="仿宋_GB2312" w:cs="Times New Roman"/>
          <w:sz w:val="32"/>
          <w:szCs w:val="32"/>
        </w:rPr>
        <w:t>宣城宛陵科创建设投资有限</w:t>
      </w:r>
      <w:r>
        <w:rPr>
          <w:rFonts w:ascii="Times New Roman" w:hAnsi="Times New Roman" w:eastAsia="仿宋_GB2312" w:cs="Times New Roman"/>
          <w:sz w:val="32"/>
          <w:szCs w:val="32"/>
        </w:rPr>
        <w:t>公司报送相关材料。申报材料请按照A4纸张格式装订成册并加盖公章，一式九份（一份正本，八份副本），其中正本必须注明“正本”字样，正、副本内容必须保持一致，副本可以用复印件。若正本和副本、电子版本不符，以正本为准。相关联系信息如下：</w:t>
      </w:r>
    </w:p>
    <w:p>
      <w:pPr>
        <w:pStyle w:val="6"/>
        <w:shd w:val="clear" w:color="auto" w:fill="FFFFFF"/>
        <w:spacing w:before="0" w:beforeAutospacing="0" w:after="0" w:afterAutospacing="0" w:line="560" w:lineRule="exact"/>
        <w:ind w:firstLine="640" w:firstLineChars="200"/>
        <w:jc w:val="both"/>
        <w:rPr>
          <w:rFonts w:hint="eastAsia" w:ascii="Times New Roman" w:hAnsi="Times New Roman" w:eastAsia="仿宋_GB2312" w:cs="Times New Roman"/>
          <w:sz w:val="32"/>
          <w:szCs w:val="32"/>
          <w:lang w:eastAsia="zh-CN"/>
        </w:rPr>
      </w:pPr>
      <w:r>
        <w:rPr>
          <w:rFonts w:ascii="Times New Roman" w:hAnsi="Times New Roman" w:eastAsia="仿宋_GB2312" w:cs="Times New Roman"/>
          <w:sz w:val="32"/>
          <w:szCs w:val="32"/>
        </w:rPr>
        <w:t>联系人：</w:t>
      </w:r>
      <w:r>
        <w:rPr>
          <w:rFonts w:hint="eastAsia" w:ascii="Times New Roman" w:hAnsi="Times New Roman" w:eastAsia="仿宋_GB2312" w:cs="Times New Roman"/>
          <w:sz w:val="32"/>
          <w:szCs w:val="32"/>
        </w:rPr>
        <w:t xml:space="preserve"> </w:t>
      </w:r>
      <w:r>
        <w:rPr>
          <w:rFonts w:hint="eastAsia" w:ascii="Times New Roman" w:hAnsi="Times New Roman" w:eastAsia="仿宋_GB2312" w:cs="Times New Roman"/>
          <w:sz w:val="32"/>
          <w:szCs w:val="32"/>
          <w:lang w:eastAsia="zh-CN"/>
        </w:rPr>
        <w:t>付洁廉</w:t>
      </w:r>
    </w:p>
    <w:p>
      <w:pPr>
        <w:pStyle w:val="6"/>
        <w:shd w:val="clear" w:color="auto" w:fill="FFFFFF"/>
        <w:spacing w:before="0" w:beforeAutospacing="0" w:after="0" w:afterAutospacing="0" w:line="560" w:lineRule="exact"/>
        <w:ind w:firstLine="640" w:firstLineChars="200"/>
        <w:jc w:val="both"/>
        <w:rPr>
          <w:rFonts w:hint="eastAsia" w:ascii="Times New Roman" w:hAnsi="Times New Roman" w:eastAsia="仿宋_GB2312" w:cs="Times New Roman"/>
          <w:sz w:val="32"/>
          <w:szCs w:val="32"/>
          <w:lang w:val="en-US" w:eastAsia="zh-CN"/>
        </w:rPr>
      </w:pPr>
      <w:r>
        <w:rPr>
          <w:rFonts w:ascii="Times New Roman" w:hAnsi="Times New Roman" w:eastAsia="仿宋_GB2312" w:cs="Times New Roman"/>
          <w:sz w:val="32"/>
          <w:szCs w:val="32"/>
        </w:rPr>
        <w:t>联系电话</w:t>
      </w:r>
      <w:r>
        <w:rPr>
          <w:rFonts w:hint="eastAsia" w:ascii="Times New Roman" w:hAnsi="Times New Roman" w:eastAsia="仿宋_GB2312" w:cs="Times New Roman"/>
          <w:sz w:val="32"/>
          <w:szCs w:val="32"/>
        </w:rPr>
        <w:t>：0563-2021122，</w:t>
      </w:r>
      <w:r>
        <w:rPr>
          <w:rFonts w:hint="eastAsia" w:ascii="Times New Roman" w:hAnsi="Times New Roman" w:eastAsia="仿宋_GB2312" w:cs="Times New Roman"/>
          <w:sz w:val="32"/>
          <w:szCs w:val="32"/>
          <w:lang w:val="en-US" w:eastAsia="zh-CN"/>
        </w:rPr>
        <w:t>13965653878</w:t>
      </w:r>
    </w:p>
    <w:p>
      <w:pPr>
        <w:pStyle w:val="6"/>
        <w:shd w:val="clear" w:color="auto" w:fill="FFFFFF"/>
        <w:spacing w:before="0" w:beforeAutospacing="0" w:after="0" w:afterAutospacing="0" w:line="560" w:lineRule="exact"/>
        <w:ind w:firstLine="640" w:firstLineChars="200"/>
        <w:jc w:val="both"/>
        <w:rPr>
          <w:rFonts w:hint="default" w:ascii="Times New Roman" w:hAnsi="Times New Roman" w:eastAsia="仿宋_GB2312" w:cs="Times New Roman"/>
          <w:sz w:val="32"/>
          <w:szCs w:val="32"/>
          <w:lang w:val="en-US" w:eastAsia="zh-CN"/>
        </w:rPr>
      </w:pPr>
      <w:r>
        <w:rPr>
          <w:rFonts w:ascii="Times New Roman" w:hAnsi="Times New Roman" w:eastAsia="仿宋_GB2312" w:cs="Times New Roman"/>
          <w:sz w:val="32"/>
          <w:szCs w:val="32"/>
        </w:rPr>
        <w:t>电子邮箱：</w:t>
      </w:r>
      <w:r>
        <w:rPr>
          <w:rFonts w:hint="eastAsia" w:ascii="Times New Roman" w:hAnsi="Times New Roman" w:eastAsia="仿宋_GB2312" w:cs="Times New Roman"/>
          <w:sz w:val="32"/>
          <w:szCs w:val="32"/>
          <w:lang w:val="en-US" w:eastAsia="zh-CN"/>
        </w:rPr>
        <w:t>66159563@qq.com</w:t>
      </w: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材料寄送地址：</w:t>
      </w:r>
      <w:r>
        <w:rPr>
          <w:rFonts w:hint="eastAsia" w:ascii="Times New Roman" w:hAnsi="Times New Roman" w:eastAsia="仿宋_GB2312" w:cs="Times New Roman"/>
          <w:sz w:val="32"/>
          <w:szCs w:val="32"/>
        </w:rPr>
        <w:t>安徽省宣城经济技术开发区文景路999号宛陵科创城1号楼三层招商投资部</w:t>
      </w: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ind w:firstLine="640" w:firstLineChars="200"/>
        <w:jc w:val="both"/>
        <w:rPr>
          <w:rFonts w:ascii="Times New Roman" w:hAnsi="Times New Roman" w:eastAsia="仿宋_GB2312" w:cs="Times New Roman"/>
          <w:sz w:val="32"/>
          <w:szCs w:val="32"/>
        </w:rPr>
      </w:pPr>
    </w:p>
    <w:p>
      <w:pPr>
        <w:spacing w:line="360" w:lineRule="auto"/>
        <w:jc w:val="left"/>
        <w:rPr>
          <w:rFonts w:ascii="Times New Roman" w:hAnsi="Times New Roman" w:eastAsia="仿宋_GB2312" w:cs="Times New Roman"/>
          <w:sz w:val="30"/>
          <w:szCs w:val="30"/>
        </w:rPr>
      </w:pPr>
      <w:r>
        <w:rPr>
          <w:rFonts w:hint="eastAsia" w:ascii="黑体" w:hAnsi="黑体" w:eastAsia="黑体" w:cs="黑体"/>
          <w:sz w:val="30"/>
          <w:szCs w:val="30"/>
        </w:rPr>
        <w:t>附件1</w:t>
      </w:r>
    </w:p>
    <w:p>
      <w:pPr>
        <w:adjustRightInd w:val="0"/>
        <w:spacing w:line="620" w:lineRule="exact"/>
        <w:jc w:val="center"/>
        <w:rPr>
          <w:rFonts w:ascii="Times New Roman" w:hAnsi="Times New Roman" w:eastAsia="仿宋_GB2312" w:cs="Times New Roman"/>
          <w:sz w:val="44"/>
          <w:szCs w:val="44"/>
        </w:rPr>
      </w:pPr>
      <w:r>
        <w:rPr>
          <w:rFonts w:hint="eastAsia" w:ascii="方正小标宋_GBK" w:hAnsi="方正小标宋_GBK" w:eastAsia="方正小标宋_GBK" w:cs="方正小标宋_GBK"/>
          <w:sz w:val="44"/>
          <w:szCs w:val="44"/>
        </w:rPr>
        <w:t>基础资料</w:t>
      </w:r>
    </w:p>
    <w:p>
      <w:pPr>
        <w:adjustRightInd w:val="0"/>
        <w:spacing w:line="560" w:lineRule="exact"/>
        <w:ind w:firstLine="600" w:firstLineChars="200"/>
        <w:rPr>
          <w:rFonts w:ascii="Times New Roman" w:hAnsi="Times New Roman" w:eastAsia="仿宋_GB2312" w:cs="Times New Roman"/>
          <w:sz w:val="30"/>
          <w:szCs w:val="30"/>
        </w:rPr>
      </w:pPr>
      <w:r>
        <w:rPr>
          <w:rFonts w:hint="eastAsia" w:ascii="黑体" w:hAnsi="黑体" w:eastAsia="黑体" w:cs="黑体"/>
          <w:sz w:val="30"/>
          <w:szCs w:val="30"/>
        </w:rPr>
        <w:t>一、申报机构及相关基金管理资质证明文件复印件</w:t>
      </w:r>
    </w:p>
    <w:p>
      <w:pPr>
        <w:adjustRightInd w:val="0"/>
        <w:spacing w:line="560" w:lineRule="exact"/>
        <w:ind w:firstLine="600" w:firstLineChars="200"/>
        <w:rPr>
          <w:rFonts w:ascii="黑体" w:hAnsi="黑体" w:eastAsia="黑体" w:cs="黑体"/>
          <w:sz w:val="30"/>
          <w:szCs w:val="30"/>
        </w:rPr>
      </w:pPr>
      <w:r>
        <w:rPr>
          <w:rFonts w:ascii="Times New Roman" w:hAnsi="Times New Roman" w:eastAsia="仿宋_GB2312" w:cs="Times New Roman"/>
          <w:sz w:val="30"/>
          <w:szCs w:val="30"/>
        </w:rPr>
        <w:t>营业执照副本、组织机构代码证、税务登记证、公司章程或合伙协议、私募基金管理人登记证明、固定办公场所的证明文件（房产证、租赁合同等）。</w:t>
      </w:r>
    </w:p>
    <w:p>
      <w:pPr>
        <w:adjustRightInd w:val="0"/>
        <w:spacing w:line="560" w:lineRule="exact"/>
        <w:ind w:firstLine="600" w:firstLineChars="200"/>
        <w:rPr>
          <w:rFonts w:ascii="Times New Roman" w:hAnsi="Times New Roman" w:eastAsia="仿宋_GB2312" w:cs="Times New Roman"/>
          <w:sz w:val="30"/>
          <w:szCs w:val="30"/>
        </w:rPr>
      </w:pPr>
      <w:r>
        <w:rPr>
          <w:rFonts w:hint="eastAsia" w:ascii="黑体" w:hAnsi="黑体" w:eastAsia="黑体" w:cs="黑体"/>
          <w:sz w:val="30"/>
          <w:szCs w:val="30"/>
        </w:rPr>
        <w:t>二、申报机构简介</w:t>
      </w:r>
    </w:p>
    <w:p>
      <w:pPr>
        <w:adjustRightInd w:val="0"/>
        <w:spacing w:line="560" w:lineRule="exact"/>
        <w:ind w:firstLine="600" w:firstLineChars="200"/>
        <w:rPr>
          <w:rFonts w:ascii="黑体" w:hAnsi="黑体" w:eastAsia="黑体" w:cs="黑体"/>
          <w:sz w:val="30"/>
          <w:szCs w:val="30"/>
        </w:rPr>
      </w:pPr>
      <w:r>
        <w:rPr>
          <w:rFonts w:ascii="Times New Roman" w:hAnsi="Times New Roman" w:eastAsia="仿宋_GB2312" w:cs="Times New Roman"/>
          <w:sz w:val="30"/>
          <w:szCs w:val="30"/>
        </w:rPr>
        <w:t>包括注册资本、历史沿革、股权结构、管理资金规模、组织结构、人员配置、机构内部制度文件（包括投资决策机制、风险控制机制、内部激励机制、投后管理与增值服务机制、关联交易等内部管理制度文件）等情况。</w:t>
      </w:r>
    </w:p>
    <w:p>
      <w:pPr>
        <w:adjustRightInd w:val="0"/>
        <w:spacing w:line="560" w:lineRule="exact"/>
        <w:ind w:firstLine="600" w:firstLineChars="200"/>
        <w:rPr>
          <w:rFonts w:ascii="Times New Roman" w:hAnsi="Times New Roman" w:eastAsia="仿宋_GB2312" w:cs="Times New Roman"/>
          <w:sz w:val="30"/>
          <w:szCs w:val="30"/>
        </w:rPr>
      </w:pPr>
      <w:r>
        <w:rPr>
          <w:rFonts w:hint="eastAsia" w:ascii="黑体" w:hAnsi="黑体" w:eastAsia="黑体" w:cs="黑体"/>
          <w:sz w:val="30"/>
          <w:szCs w:val="30"/>
        </w:rPr>
        <w:t>三、申报机构主要管理人员简介</w:t>
      </w:r>
    </w:p>
    <w:p>
      <w:pPr>
        <w:adjustRightInd w:val="0"/>
        <w:spacing w:line="560" w:lineRule="exact"/>
        <w:ind w:firstLine="600" w:firstLineChars="200"/>
        <w:rPr>
          <w:rFonts w:ascii="黑体" w:hAnsi="黑体" w:eastAsia="黑体" w:cs="黑体"/>
          <w:sz w:val="30"/>
          <w:szCs w:val="30"/>
        </w:rPr>
      </w:pPr>
      <w:r>
        <w:rPr>
          <w:rFonts w:ascii="Times New Roman" w:hAnsi="Times New Roman" w:eastAsia="仿宋_GB2312" w:cs="Times New Roman"/>
          <w:sz w:val="30"/>
          <w:szCs w:val="30"/>
        </w:rPr>
        <w:t>包括法定代表人、高级管理人员、主要专业技术人员简表。</w:t>
      </w:r>
    </w:p>
    <w:p>
      <w:pPr>
        <w:adjustRightInd w:val="0"/>
        <w:spacing w:line="560" w:lineRule="exact"/>
        <w:ind w:firstLine="600" w:firstLineChars="200"/>
        <w:rPr>
          <w:rFonts w:ascii="Times New Roman" w:hAnsi="Times New Roman" w:eastAsia="仿宋_GB2312" w:cs="Times New Roman"/>
          <w:sz w:val="30"/>
          <w:szCs w:val="30"/>
        </w:rPr>
      </w:pPr>
      <w:r>
        <w:rPr>
          <w:rFonts w:hint="eastAsia" w:ascii="黑体" w:hAnsi="黑体" w:eastAsia="黑体" w:cs="黑体"/>
          <w:sz w:val="30"/>
          <w:szCs w:val="30"/>
        </w:rPr>
        <w:t>四、受托管理基金情况</w:t>
      </w:r>
    </w:p>
    <w:p>
      <w:pPr>
        <w:adjustRightInd w:val="0"/>
        <w:spacing w:line="560" w:lineRule="exact"/>
        <w:ind w:firstLine="600" w:firstLineChars="200"/>
        <w:rPr>
          <w:rFonts w:ascii="黑体" w:hAnsi="黑体" w:eastAsia="黑体" w:cs="黑体"/>
          <w:sz w:val="30"/>
          <w:szCs w:val="30"/>
        </w:rPr>
      </w:pPr>
      <w:r>
        <w:rPr>
          <w:rFonts w:ascii="Times New Roman" w:hAnsi="Times New Roman" w:eastAsia="仿宋_GB2312" w:cs="Times New Roman"/>
          <w:sz w:val="30"/>
          <w:szCs w:val="30"/>
        </w:rPr>
        <w:t>历史上管理基金的投资偏好、投资类型、地域范围、行业、规模、阶段等；从事本基金管理的管理团队中核心成员以往和当前管理基金情况列表。</w:t>
      </w:r>
    </w:p>
    <w:p>
      <w:pPr>
        <w:adjustRightInd w:val="0"/>
        <w:spacing w:line="560" w:lineRule="exact"/>
        <w:ind w:firstLine="600" w:firstLineChars="200"/>
        <w:rPr>
          <w:rFonts w:ascii="Times New Roman" w:hAnsi="Times New Roman" w:eastAsia="仿宋_GB2312" w:cs="Times New Roman"/>
          <w:sz w:val="30"/>
          <w:szCs w:val="30"/>
        </w:rPr>
      </w:pPr>
      <w:r>
        <w:rPr>
          <w:rFonts w:hint="eastAsia" w:ascii="黑体" w:hAnsi="黑体" w:eastAsia="黑体" w:cs="黑体"/>
          <w:sz w:val="30"/>
          <w:szCs w:val="30"/>
        </w:rPr>
        <w:t>五、有关诉讼、担保、其他或有风险事项说明</w:t>
      </w:r>
    </w:p>
    <w:p>
      <w:pPr>
        <w:adjustRightInd w:val="0"/>
        <w:spacing w:line="560" w:lineRule="exact"/>
        <w:ind w:firstLine="600" w:firstLineChars="200"/>
        <w:rPr>
          <w:rFonts w:ascii="黑体" w:hAnsi="黑体" w:eastAsia="黑体" w:cs="黑体"/>
          <w:sz w:val="30"/>
          <w:szCs w:val="30"/>
        </w:rPr>
      </w:pPr>
      <w:r>
        <w:rPr>
          <w:rFonts w:ascii="Times New Roman" w:hAnsi="Times New Roman" w:eastAsia="仿宋_GB2312" w:cs="Times New Roman"/>
          <w:sz w:val="30"/>
          <w:szCs w:val="30"/>
        </w:rPr>
        <w:t>申报机构有关诉讼、担保、其他或有风险事项说明及文件。最近五年内申报机构及其工作人员无行政主管机构或司法机关处罚的不良记录的声明或承诺。</w:t>
      </w:r>
    </w:p>
    <w:p>
      <w:pPr>
        <w:adjustRightInd w:val="0"/>
        <w:spacing w:line="560" w:lineRule="exact"/>
        <w:ind w:firstLine="600" w:firstLineChars="200"/>
        <w:rPr>
          <w:rFonts w:ascii="黑体" w:hAnsi="黑体" w:eastAsia="黑体" w:cs="黑体"/>
          <w:sz w:val="30"/>
          <w:szCs w:val="30"/>
        </w:rPr>
      </w:pPr>
      <w:r>
        <w:rPr>
          <w:rFonts w:hint="eastAsia" w:ascii="黑体" w:hAnsi="黑体" w:eastAsia="黑体" w:cs="黑体"/>
          <w:sz w:val="30"/>
          <w:szCs w:val="30"/>
        </w:rPr>
        <w:t>六、其他需说明事项</w:t>
      </w:r>
    </w:p>
    <w:p>
      <w:pPr>
        <w:rPr>
          <w:rFonts w:ascii="Times New Roman" w:hAnsi="Times New Roman" w:cs="Times New Roman"/>
        </w:rPr>
      </w:pPr>
    </w:p>
    <w:p>
      <w:pPr>
        <w:spacing w:line="560" w:lineRule="exact"/>
        <w:jc w:val="left"/>
        <w:rPr>
          <w:rFonts w:ascii="黑体" w:hAnsi="黑体" w:eastAsia="黑体" w:cs="黑体"/>
          <w:sz w:val="30"/>
          <w:szCs w:val="30"/>
        </w:rPr>
        <w:sectPr>
          <w:footerReference r:id="rId3" w:type="default"/>
          <w:pgSz w:w="11906" w:h="16838"/>
          <w:pgMar w:top="2098" w:right="1531" w:bottom="1985" w:left="1531" w:header="1588" w:footer="851" w:gutter="0"/>
          <w:pgNumType w:fmt="numberInDash"/>
          <w:cols w:space="425" w:num="1"/>
          <w:docGrid w:type="lines" w:linePitch="312" w:charSpace="0"/>
        </w:sectPr>
      </w:pPr>
    </w:p>
    <w:p>
      <w:pPr>
        <w:spacing w:line="560" w:lineRule="exact"/>
        <w:jc w:val="left"/>
        <w:rPr>
          <w:rFonts w:ascii="Times New Roman" w:hAnsi="Times New Roman" w:eastAsia="仿宋_GB2312" w:cs="Times New Roman"/>
          <w:sz w:val="30"/>
          <w:szCs w:val="30"/>
        </w:rPr>
      </w:pPr>
      <w:r>
        <w:rPr>
          <w:rFonts w:hint="eastAsia" w:ascii="黑体" w:hAnsi="黑体" w:eastAsia="黑体" w:cs="黑体"/>
          <w:sz w:val="30"/>
          <w:szCs w:val="30"/>
        </w:rPr>
        <w:t>附件2</w:t>
      </w:r>
    </w:p>
    <w:p>
      <w:pPr>
        <w:spacing w:line="56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宣城宛陵科创建设投资有限公司</w:t>
      </w:r>
    </w:p>
    <w:p>
      <w:pPr>
        <w:spacing w:line="560" w:lineRule="exact"/>
        <w:jc w:val="center"/>
        <w:rPr>
          <w:rFonts w:ascii="Times New Roman" w:hAnsi="Times New Roman" w:eastAsia="仿宋_GB2312" w:cs="Times New Roman"/>
          <w:sz w:val="44"/>
          <w:szCs w:val="44"/>
        </w:rPr>
      </w:pPr>
      <w:r>
        <w:rPr>
          <w:rFonts w:hint="eastAsia" w:ascii="方正小标宋_GBK" w:hAnsi="方正小标宋_GBK" w:eastAsia="方正小标宋_GBK" w:cs="方正小标宋_GBK"/>
          <w:sz w:val="44"/>
          <w:szCs w:val="44"/>
        </w:rPr>
        <w:t>宣城经开区科创基金管理人申报方案</w:t>
      </w:r>
    </w:p>
    <w:p>
      <w:pPr>
        <w:spacing w:line="560" w:lineRule="exact"/>
        <w:ind w:firstLine="600" w:firstLineChars="200"/>
        <w:jc w:val="left"/>
        <w:rPr>
          <w:rFonts w:ascii="Times New Roman" w:hAnsi="Times New Roman" w:eastAsia="仿宋_GB2312" w:cs="Times New Roman"/>
          <w:sz w:val="30"/>
          <w:szCs w:val="30"/>
        </w:rPr>
      </w:pPr>
      <w:r>
        <w:rPr>
          <w:rFonts w:hint="eastAsia" w:ascii="黑体" w:hAnsi="黑体" w:eastAsia="黑体" w:cs="黑体"/>
          <w:sz w:val="30"/>
          <w:szCs w:val="30"/>
        </w:rPr>
        <w:t>一、拟组建基金基本情况表</w:t>
      </w:r>
    </w:p>
    <w:tbl>
      <w:tblPr>
        <w:tblStyle w:val="8"/>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44"/>
        <w:gridCol w:w="51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44" w:type="dxa"/>
            <w:vAlign w:val="center"/>
          </w:tcPr>
          <w:p>
            <w:pPr>
              <w:spacing w:line="40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拟组建基金名称</w:t>
            </w:r>
          </w:p>
        </w:tc>
        <w:tc>
          <w:tcPr>
            <w:tcW w:w="5178" w:type="dxa"/>
            <w:vAlign w:val="center"/>
          </w:tcPr>
          <w:p>
            <w:pPr>
              <w:spacing w:line="560" w:lineRule="exact"/>
              <w:jc w:val="center"/>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44" w:type="dxa"/>
            <w:vAlign w:val="center"/>
          </w:tcPr>
          <w:p>
            <w:pPr>
              <w:spacing w:line="40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拟组建基金企业性质</w:t>
            </w:r>
          </w:p>
        </w:tc>
        <w:tc>
          <w:tcPr>
            <w:tcW w:w="5178" w:type="dxa"/>
            <w:vAlign w:val="center"/>
          </w:tcPr>
          <w:p>
            <w:pPr>
              <w:spacing w:line="560" w:lineRule="exact"/>
              <w:jc w:val="center"/>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44" w:type="dxa"/>
            <w:vAlign w:val="center"/>
          </w:tcPr>
          <w:p>
            <w:pPr>
              <w:spacing w:line="40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拟募集资金规模</w:t>
            </w:r>
          </w:p>
        </w:tc>
        <w:tc>
          <w:tcPr>
            <w:tcW w:w="5178" w:type="dxa"/>
            <w:vAlign w:val="center"/>
          </w:tcPr>
          <w:p>
            <w:pPr>
              <w:spacing w:line="560" w:lineRule="exact"/>
              <w:jc w:val="center"/>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44" w:type="dxa"/>
            <w:vAlign w:val="center"/>
          </w:tcPr>
          <w:p>
            <w:pPr>
              <w:spacing w:line="40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募集安排</w:t>
            </w:r>
          </w:p>
        </w:tc>
        <w:tc>
          <w:tcPr>
            <w:tcW w:w="5178" w:type="dxa"/>
            <w:vAlign w:val="center"/>
          </w:tcPr>
          <w:p>
            <w:pPr>
              <w:spacing w:line="560" w:lineRule="exact"/>
              <w:jc w:val="center"/>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44" w:type="dxa"/>
            <w:vAlign w:val="center"/>
          </w:tcPr>
          <w:p>
            <w:pPr>
              <w:spacing w:line="40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拟组建基金存续期</w:t>
            </w:r>
          </w:p>
        </w:tc>
        <w:tc>
          <w:tcPr>
            <w:tcW w:w="5178" w:type="dxa"/>
            <w:vAlign w:val="center"/>
          </w:tcPr>
          <w:p>
            <w:pPr>
              <w:spacing w:line="560" w:lineRule="exact"/>
              <w:jc w:val="center"/>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44" w:type="dxa"/>
            <w:vAlign w:val="center"/>
          </w:tcPr>
          <w:p>
            <w:pPr>
              <w:spacing w:line="40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投资行业分布</w:t>
            </w:r>
          </w:p>
        </w:tc>
        <w:tc>
          <w:tcPr>
            <w:tcW w:w="5178" w:type="dxa"/>
            <w:vAlign w:val="center"/>
          </w:tcPr>
          <w:p>
            <w:pPr>
              <w:spacing w:line="560" w:lineRule="exact"/>
              <w:jc w:val="center"/>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44" w:type="dxa"/>
            <w:vAlign w:val="center"/>
          </w:tcPr>
          <w:p>
            <w:pPr>
              <w:spacing w:line="40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投资区域分布</w:t>
            </w:r>
          </w:p>
        </w:tc>
        <w:tc>
          <w:tcPr>
            <w:tcW w:w="5178" w:type="dxa"/>
            <w:vAlign w:val="center"/>
          </w:tcPr>
          <w:p>
            <w:pPr>
              <w:spacing w:line="560" w:lineRule="exact"/>
              <w:jc w:val="center"/>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44" w:type="dxa"/>
            <w:vAlign w:val="center"/>
          </w:tcPr>
          <w:p>
            <w:pPr>
              <w:spacing w:line="40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基金管理机构</w:t>
            </w:r>
          </w:p>
        </w:tc>
        <w:tc>
          <w:tcPr>
            <w:tcW w:w="5178" w:type="dxa"/>
            <w:vAlign w:val="center"/>
          </w:tcPr>
          <w:p>
            <w:pPr>
              <w:spacing w:line="560" w:lineRule="exact"/>
              <w:jc w:val="center"/>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44" w:type="dxa"/>
            <w:vAlign w:val="center"/>
          </w:tcPr>
          <w:p>
            <w:pPr>
              <w:spacing w:line="40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管理费收取比例</w:t>
            </w:r>
          </w:p>
        </w:tc>
        <w:tc>
          <w:tcPr>
            <w:tcW w:w="5178" w:type="dxa"/>
            <w:vAlign w:val="center"/>
          </w:tcPr>
          <w:p>
            <w:pPr>
              <w:spacing w:line="560" w:lineRule="exact"/>
              <w:jc w:val="center"/>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44" w:type="dxa"/>
            <w:vAlign w:val="center"/>
          </w:tcPr>
          <w:p>
            <w:pPr>
              <w:spacing w:line="40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利益分配</w:t>
            </w:r>
          </w:p>
        </w:tc>
        <w:tc>
          <w:tcPr>
            <w:tcW w:w="5178" w:type="dxa"/>
            <w:vAlign w:val="center"/>
          </w:tcPr>
          <w:p>
            <w:pPr>
              <w:spacing w:line="560" w:lineRule="exact"/>
              <w:jc w:val="center"/>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44" w:type="dxa"/>
            <w:vAlign w:val="center"/>
          </w:tcPr>
          <w:p>
            <w:pPr>
              <w:spacing w:line="40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投资决策机构及决策制度</w:t>
            </w:r>
          </w:p>
        </w:tc>
        <w:tc>
          <w:tcPr>
            <w:tcW w:w="5178" w:type="dxa"/>
            <w:vAlign w:val="center"/>
          </w:tcPr>
          <w:p>
            <w:pPr>
              <w:spacing w:line="560" w:lineRule="exact"/>
              <w:jc w:val="center"/>
              <w:rPr>
                <w:rFonts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344" w:type="dxa"/>
            <w:vAlign w:val="center"/>
          </w:tcPr>
          <w:p>
            <w:pPr>
              <w:spacing w:line="40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管理团队及主要成员</w:t>
            </w:r>
          </w:p>
        </w:tc>
        <w:tc>
          <w:tcPr>
            <w:tcW w:w="5178" w:type="dxa"/>
            <w:vAlign w:val="center"/>
          </w:tcPr>
          <w:p>
            <w:pPr>
              <w:spacing w:line="560" w:lineRule="exact"/>
              <w:jc w:val="center"/>
              <w:rPr>
                <w:rFonts w:ascii="Times New Roman" w:hAnsi="Times New Roman" w:eastAsia="仿宋_GB2312" w:cs="Times New Roman"/>
                <w:sz w:val="24"/>
                <w:szCs w:val="24"/>
              </w:rPr>
            </w:pPr>
          </w:p>
        </w:tc>
      </w:tr>
    </w:tbl>
    <w:p>
      <w:pPr>
        <w:spacing w:line="560" w:lineRule="exact"/>
        <w:ind w:firstLine="600" w:firstLineChars="200"/>
        <w:rPr>
          <w:rFonts w:ascii="黑体" w:hAnsi="黑体" w:eastAsia="黑体" w:cs="黑体"/>
          <w:sz w:val="30"/>
          <w:szCs w:val="30"/>
        </w:rPr>
      </w:pPr>
      <w:r>
        <w:rPr>
          <w:rFonts w:hint="eastAsia" w:ascii="黑体" w:hAnsi="黑体" w:eastAsia="黑体" w:cs="黑体"/>
          <w:sz w:val="30"/>
          <w:szCs w:val="30"/>
        </w:rPr>
        <w:t>二、拟组建基金方案</w:t>
      </w:r>
    </w:p>
    <w:p>
      <w:pPr>
        <w:spacing w:line="560" w:lineRule="exact"/>
        <w:ind w:firstLine="600" w:firstLineChars="200"/>
        <w:rPr>
          <w:rFonts w:ascii="楷体_GB2312" w:hAnsi="楷体_GB2312" w:eastAsia="楷体_GB2312" w:cs="楷体_GB2312"/>
          <w:sz w:val="30"/>
          <w:szCs w:val="30"/>
        </w:rPr>
      </w:pPr>
      <w:r>
        <w:rPr>
          <w:rFonts w:hint="eastAsia" w:ascii="楷体_GB2312" w:hAnsi="楷体_GB2312" w:eastAsia="楷体_GB2312" w:cs="楷体_GB2312"/>
          <w:sz w:val="30"/>
          <w:szCs w:val="30"/>
        </w:rPr>
        <w:t>（一）拟组建基金的设立背景和目标</w:t>
      </w:r>
    </w:p>
    <w:p>
      <w:pPr>
        <w:spacing w:line="560" w:lineRule="exact"/>
        <w:ind w:firstLine="600" w:firstLineChars="200"/>
        <w:rPr>
          <w:rFonts w:ascii="楷体_GB2312" w:hAnsi="楷体_GB2312" w:eastAsia="楷体_GB2312" w:cs="楷体_GB2312"/>
          <w:sz w:val="30"/>
          <w:szCs w:val="30"/>
        </w:rPr>
      </w:pPr>
      <w:r>
        <w:rPr>
          <w:rFonts w:hint="eastAsia" w:ascii="楷体_GB2312" w:hAnsi="楷体_GB2312" w:eastAsia="楷体_GB2312" w:cs="楷体_GB2312"/>
          <w:sz w:val="30"/>
          <w:szCs w:val="30"/>
        </w:rPr>
        <w:t>（二）拟组建基金基本要素</w:t>
      </w:r>
    </w:p>
    <w:p>
      <w:pPr>
        <w:numPr>
          <w:ilvl w:val="0"/>
          <w:numId w:val="3"/>
        </w:num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基金名称；</w:t>
      </w:r>
    </w:p>
    <w:p>
      <w:pPr>
        <w:numPr>
          <w:ilvl w:val="0"/>
          <w:numId w:val="3"/>
        </w:num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组织形式；</w:t>
      </w:r>
    </w:p>
    <w:p>
      <w:pPr>
        <w:numPr>
          <w:ilvl w:val="0"/>
          <w:numId w:val="3"/>
        </w:num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基金存续期及出资安排计划；</w:t>
      </w:r>
    </w:p>
    <w:p>
      <w:pPr>
        <w:numPr>
          <w:ilvl w:val="0"/>
          <w:numId w:val="3"/>
        </w:num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拟投资产业领域、投资区域、投资阶段。</w:t>
      </w:r>
    </w:p>
    <w:p>
      <w:pPr>
        <w:spacing w:line="560" w:lineRule="exact"/>
        <w:ind w:firstLine="600" w:firstLineChars="200"/>
        <w:rPr>
          <w:rFonts w:ascii="楷体_GB2312" w:hAnsi="楷体_GB2312" w:eastAsia="楷体_GB2312" w:cs="楷体_GB2312"/>
          <w:sz w:val="30"/>
          <w:szCs w:val="30"/>
        </w:rPr>
      </w:pPr>
      <w:r>
        <w:rPr>
          <w:rFonts w:hint="eastAsia" w:ascii="楷体_GB2312" w:hAnsi="楷体_GB2312" w:eastAsia="楷体_GB2312" w:cs="楷体_GB2312"/>
          <w:sz w:val="30"/>
          <w:szCs w:val="30"/>
        </w:rPr>
        <w:t>（三）拟组建基金的利润分配和激励制度；</w:t>
      </w:r>
    </w:p>
    <w:p>
      <w:pPr>
        <w:spacing w:line="560" w:lineRule="exact"/>
        <w:ind w:firstLine="600" w:firstLineChars="200"/>
        <w:rPr>
          <w:rFonts w:ascii="楷体_GB2312" w:hAnsi="楷体_GB2312" w:eastAsia="楷体_GB2312" w:cs="楷体_GB2312"/>
          <w:sz w:val="30"/>
          <w:szCs w:val="30"/>
        </w:rPr>
      </w:pPr>
      <w:r>
        <w:rPr>
          <w:rFonts w:hint="eastAsia" w:ascii="楷体_GB2312" w:hAnsi="楷体_GB2312" w:eastAsia="楷体_GB2312" w:cs="楷体_GB2312"/>
          <w:sz w:val="30"/>
          <w:szCs w:val="30"/>
        </w:rPr>
        <w:t>（四）组建基金的竞争优势，即相同条件下取得项目的计划；</w:t>
      </w:r>
    </w:p>
    <w:p>
      <w:pPr>
        <w:spacing w:line="560" w:lineRule="exact"/>
        <w:ind w:firstLine="600" w:firstLineChars="200"/>
        <w:rPr>
          <w:rFonts w:ascii="Times New Roman" w:hAnsi="Times New Roman" w:eastAsia="仿宋_GB2312" w:cs="Times New Roman"/>
          <w:sz w:val="30"/>
          <w:szCs w:val="30"/>
        </w:rPr>
      </w:pPr>
      <w:r>
        <w:rPr>
          <w:rFonts w:hint="eastAsia" w:ascii="黑体" w:hAnsi="黑体" w:eastAsia="黑体" w:cs="黑体"/>
          <w:sz w:val="30"/>
          <w:szCs w:val="30"/>
        </w:rPr>
        <w:t>三、基金管理机构及管理团队简介</w:t>
      </w:r>
    </w:p>
    <w:p>
      <w:pPr>
        <w:spacing w:line="560" w:lineRule="exact"/>
        <w:ind w:firstLine="600" w:firstLineChars="200"/>
        <w:rPr>
          <w:rFonts w:ascii="楷体_GB2312" w:hAnsi="楷体_GB2312" w:eastAsia="楷体_GB2312" w:cs="楷体_GB2312"/>
          <w:sz w:val="30"/>
          <w:szCs w:val="30"/>
        </w:rPr>
      </w:pPr>
      <w:r>
        <w:rPr>
          <w:rFonts w:hint="eastAsia" w:ascii="楷体_GB2312" w:hAnsi="楷体_GB2312" w:eastAsia="楷体_GB2312" w:cs="楷体_GB2312"/>
          <w:sz w:val="30"/>
          <w:szCs w:val="30"/>
        </w:rPr>
        <w:t>（一）管理机构的基本情况</w:t>
      </w:r>
    </w:p>
    <w:p>
      <w:pPr>
        <w:numPr>
          <w:ilvl w:val="0"/>
          <w:numId w:val="4"/>
        </w:num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基本概况：机构名称、组织形式、法定代表人、注册资本、营业地址、品牌影响力、历史沿革等基本信息；</w:t>
      </w:r>
    </w:p>
    <w:p>
      <w:pPr>
        <w:numPr>
          <w:ilvl w:val="0"/>
          <w:numId w:val="4"/>
        </w:num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股东（合伙人）的基本情况；</w:t>
      </w:r>
    </w:p>
    <w:p>
      <w:pPr>
        <w:numPr>
          <w:ilvl w:val="0"/>
          <w:numId w:val="4"/>
        </w:num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组织架构及人员配置情况。</w:t>
      </w:r>
    </w:p>
    <w:p>
      <w:pPr>
        <w:spacing w:line="560" w:lineRule="exact"/>
        <w:ind w:firstLine="600" w:firstLineChars="200"/>
        <w:rPr>
          <w:rFonts w:ascii="Times New Roman" w:hAnsi="Times New Roman" w:eastAsia="仿宋_GB2312" w:cs="Times New Roman"/>
          <w:sz w:val="30"/>
          <w:szCs w:val="30"/>
        </w:rPr>
      </w:pPr>
      <w:r>
        <w:rPr>
          <w:rFonts w:hint="eastAsia" w:ascii="楷体_GB2312" w:hAnsi="楷体_GB2312" w:eastAsia="楷体_GB2312" w:cs="楷体_GB2312"/>
          <w:sz w:val="30"/>
          <w:szCs w:val="30"/>
        </w:rPr>
        <w:t>（二）业务经营情况</w:t>
      </w:r>
    </w:p>
    <w:p>
      <w:pPr>
        <w:numPr>
          <w:ilvl w:val="0"/>
          <w:numId w:val="5"/>
        </w:num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历史管理基金：投资类型、地域范围、行业、规模、阶段等；</w:t>
      </w:r>
    </w:p>
    <w:p>
      <w:pPr>
        <w:numPr>
          <w:ilvl w:val="0"/>
          <w:numId w:val="5"/>
        </w:num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相关的业务情况</w:t>
      </w:r>
      <w:r>
        <w:rPr>
          <w:rFonts w:hint="eastAsia" w:ascii="Times New Roman" w:hAnsi="Times New Roman" w:eastAsia="仿宋_GB2312" w:cs="Times New Roman"/>
          <w:sz w:val="30"/>
          <w:szCs w:val="30"/>
          <w:lang w:eastAsia="zh-CN"/>
        </w:rPr>
        <w:t>说明</w:t>
      </w:r>
      <w:r>
        <w:rPr>
          <w:rFonts w:ascii="Times New Roman" w:hAnsi="Times New Roman" w:eastAsia="仿宋_GB2312" w:cs="Times New Roman"/>
          <w:sz w:val="30"/>
          <w:szCs w:val="30"/>
        </w:rPr>
        <w:t>；</w:t>
      </w:r>
    </w:p>
    <w:p>
      <w:pPr>
        <w:numPr>
          <w:ilvl w:val="0"/>
          <w:numId w:val="5"/>
        </w:num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管理团队业绩案例介绍。</w:t>
      </w:r>
    </w:p>
    <w:p>
      <w:pPr>
        <w:spacing w:line="560" w:lineRule="exact"/>
        <w:ind w:firstLine="600" w:firstLineChars="200"/>
        <w:rPr>
          <w:rFonts w:ascii="楷体_GB2312" w:hAnsi="楷体_GB2312" w:eastAsia="楷体_GB2312" w:cs="楷体_GB2312"/>
          <w:sz w:val="30"/>
          <w:szCs w:val="30"/>
        </w:rPr>
      </w:pPr>
      <w:r>
        <w:rPr>
          <w:rFonts w:hint="eastAsia" w:ascii="楷体_GB2312" w:hAnsi="楷体_GB2312" w:eastAsia="楷体_GB2312" w:cs="楷体_GB2312"/>
          <w:sz w:val="30"/>
          <w:szCs w:val="30"/>
        </w:rPr>
        <w:t>（三）拟组建基金的投资管理团队情况：</w:t>
      </w:r>
    </w:p>
    <w:p>
      <w:p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主要团队成员介绍。</w:t>
      </w:r>
    </w:p>
    <w:p>
      <w:pPr>
        <w:spacing w:line="560" w:lineRule="exact"/>
        <w:ind w:firstLine="600" w:firstLineChars="200"/>
        <w:rPr>
          <w:rFonts w:ascii="楷体_GB2312" w:hAnsi="楷体_GB2312" w:eastAsia="楷体_GB2312" w:cs="楷体_GB2312"/>
          <w:sz w:val="30"/>
          <w:szCs w:val="30"/>
        </w:rPr>
      </w:pPr>
      <w:r>
        <w:rPr>
          <w:rFonts w:hint="eastAsia" w:ascii="楷体_GB2312" w:hAnsi="楷体_GB2312" w:eastAsia="楷体_GB2312" w:cs="楷体_GB2312"/>
          <w:sz w:val="30"/>
          <w:szCs w:val="30"/>
        </w:rPr>
        <w:t>（四）团队能力评估</w:t>
      </w:r>
    </w:p>
    <w:p>
      <w:pPr>
        <w:numPr>
          <w:ilvl w:val="0"/>
          <w:numId w:val="6"/>
        </w:num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投资能力</w:t>
      </w:r>
    </w:p>
    <w:p>
      <w:p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（1）产业项目合作方；</w:t>
      </w:r>
    </w:p>
    <w:p>
      <w:p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（2）投资决策流程及风险控制；</w:t>
      </w:r>
    </w:p>
    <w:p>
      <w:p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（3）竞争取得项目的策略和优势；</w:t>
      </w:r>
    </w:p>
    <w:p>
      <w:p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（4）作为牵头投资人的经验。</w:t>
      </w:r>
    </w:p>
    <w:p>
      <w:pPr>
        <w:spacing w:line="560" w:lineRule="exact"/>
        <w:ind w:firstLine="600" w:firstLineChars="200"/>
        <w:rPr>
          <w:rFonts w:ascii="Times New Roman" w:hAnsi="Times New Roman" w:eastAsia="仿宋_GB2312" w:cs="Times New Roman"/>
          <w:sz w:val="30"/>
          <w:szCs w:val="30"/>
        </w:rPr>
      </w:pPr>
    </w:p>
    <w:p>
      <w:pPr>
        <w:numPr>
          <w:ilvl w:val="0"/>
          <w:numId w:val="6"/>
        </w:num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项目管理能力</w:t>
      </w:r>
    </w:p>
    <w:p>
      <w:p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（1）细分行业投资经验；</w:t>
      </w:r>
    </w:p>
    <w:p>
      <w:p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（2）提供增值服务的能力和成绩。</w:t>
      </w:r>
    </w:p>
    <w:p>
      <w:pPr>
        <w:numPr>
          <w:ilvl w:val="0"/>
          <w:numId w:val="6"/>
        </w:num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退出能力</w:t>
      </w:r>
    </w:p>
    <w:p>
      <w:pPr>
        <w:spacing w:line="560" w:lineRule="exact"/>
        <w:ind w:firstLine="600" w:firstLineChars="200"/>
        <w:rPr>
          <w:rFonts w:ascii="Times New Roman" w:hAnsi="Times New Roman" w:eastAsia="仿宋_GB2312" w:cs="Times New Roman"/>
          <w:sz w:val="30"/>
          <w:szCs w:val="30"/>
        </w:rPr>
      </w:pPr>
      <w:r>
        <w:rPr>
          <w:rFonts w:ascii="Times New Roman" w:hAnsi="Times New Roman" w:eastAsia="仿宋_GB2312" w:cs="Times New Roman"/>
          <w:sz w:val="30"/>
          <w:szCs w:val="30"/>
        </w:rPr>
        <w:t>已退出项目介绍。</w:t>
      </w:r>
    </w:p>
    <w:p>
      <w:pPr>
        <w:spacing w:line="360" w:lineRule="auto"/>
        <w:jc w:val="left"/>
        <w:rPr>
          <w:rFonts w:ascii="黑体" w:hAnsi="黑体" w:eastAsia="黑体" w:cs="黑体"/>
          <w:sz w:val="30"/>
          <w:szCs w:val="30"/>
        </w:rPr>
        <w:sectPr>
          <w:footerReference r:id="rId4" w:type="default"/>
          <w:pgSz w:w="11906" w:h="16838"/>
          <w:pgMar w:top="2098" w:right="1531" w:bottom="1985" w:left="1531" w:header="1588" w:footer="851" w:gutter="0"/>
          <w:pgNumType w:fmt="numberInDash" w:start="9"/>
          <w:cols w:space="425" w:num="1"/>
          <w:docGrid w:type="lines" w:linePitch="312" w:charSpace="0"/>
        </w:sectPr>
      </w:pPr>
    </w:p>
    <w:p>
      <w:pPr>
        <w:spacing w:line="360" w:lineRule="auto"/>
        <w:jc w:val="left"/>
        <w:rPr>
          <w:rFonts w:ascii="Times New Roman" w:hAnsi="Times New Roman" w:eastAsia="仿宋_GB2312" w:cs="Times New Roman"/>
          <w:sz w:val="30"/>
          <w:szCs w:val="30"/>
        </w:rPr>
      </w:pPr>
      <w:r>
        <w:rPr>
          <w:rFonts w:hint="eastAsia" w:ascii="黑体" w:hAnsi="黑体" w:eastAsia="黑体" w:cs="黑体"/>
          <w:sz w:val="30"/>
          <w:szCs w:val="30"/>
        </w:rPr>
        <w:t>附件3</w:t>
      </w:r>
    </w:p>
    <w:p>
      <w:pPr>
        <w:adjustRightInd w:val="0"/>
        <w:spacing w:line="620" w:lineRule="exact"/>
        <w:jc w:val="center"/>
        <w:rPr>
          <w:rFonts w:ascii="Times New Roman" w:hAnsi="Times New Roman" w:eastAsia="仿宋_GB2312" w:cs="Times New Roman"/>
          <w:sz w:val="44"/>
          <w:szCs w:val="44"/>
        </w:rPr>
      </w:pPr>
      <w:r>
        <w:rPr>
          <w:rFonts w:hint="eastAsia" w:ascii="方正小标宋_GBK" w:hAnsi="方正小标宋_GBK" w:eastAsia="方正小标宋_GBK" w:cs="方正小标宋_GBK"/>
          <w:sz w:val="44"/>
          <w:szCs w:val="44"/>
        </w:rPr>
        <w:t>评分细则</w:t>
      </w:r>
    </w:p>
    <w:p>
      <w:pPr>
        <w:adjustRightInd w:val="0"/>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本次评审满分为100分，具体见下表：</w:t>
      </w:r>
    </w:p>
    <w:tbl>
      <w:tblPr>
        <w:tblStyle w:val="8"/>
        <w:tblW w:w="8920" w:type="dxa"/>
        <w:tblInd w:w="93" w:type="dxa"/>
        <w:tblLayout w:type="fixed"/>
        <w:tblCellMar>
          <w:top w:w="0" w:type="dxa"/>
          <w:left w:w="108" w:type="dxa"/>
          <w:bottom w:w="0" w:type="dxa"/>
          <w:right w:w="108" w:type="dxa"/>
        </w:tblCellMar>
      </w:tblPr>
      <w:tblGrid>
        <w:gridCol w:w="600"/>
        <w:gridCol w:w="1220"/>
        <w:gridCol w:w="640"/>
        <w:gridCol w:w="4880"/>
        <w:gridCol w:w="500"/>
        <w:gridCol w:w="1080"/>
      </w:tblGrid>
      <w:tr>
        <w:tblPrEx>
          <w:tblCellMar>
            <w:top w:w="0" w:type="dxa"/>
            <w:left w:w="108" w:type="dxa"/>
            <w:bottom w:w="0" w:type="dxa"/>
            <w:right w:w="108" w:type="dxa"/>
          </w:tblCellMar>
        </w:tblPrEx>
        <w:trPr>
          <w:trHeight w:val="405"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序号</w:t>
            </w:r>
          </w:p>
        </w:tc>
        <w:tc>
          <w:tcPr>
            <w:tcW w:w="122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评审内容</w:t>
            </w:r>
          </w:p>
        </w:tc>
        <w:tc>
          <w:tcPr>
            <w:tcW w:w="64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分值</w:t>
            </w:r>
          </w:p>
        </w:tc>
        <w:tc>
          <w:tcPr>
            <w:tcW w:w="5380" w:type="dxa"/>
            <w:gridSpan w:val="2"/>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评审标准</w:t>
            </w:r>
          </w:p>
        </w:tc>
        <w:tc>
          <w:tcPr>
            <w:tcW w:w="108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评审得分</w:t>
            </w:r>
          </w:p>
        </w:tc>
      </w:tr>
      <w:tr>
        <w:tblPrEx>
          <w:tblCellMar>
            <w:top w:w="0" w:type="dxa"/>
            <w:left w:w="108" w:type="dxa"/>
            <w:bottom w:w="0" w:type="dxa"/>
            <w:right w:w="108" w:type="dxa"/>
          </w:tblCellMar>
        </w:tblPrEx>
        <w:trPr>
          <w:trHeight w:val="405"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一</w:t>
            </w:r>
          </w:p>
        </w:tc>
        <w:tc>
          <w:tcPr>
            <w:tcW w:w="122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企业情况</w:t>
            </w:r>
          </w:p>
        </w:tc>
        <w:tc>
          <w:tcPr>
            <w:tcW w:w="64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25</w:t>
            </w:r>
          </w:p>
        </w:tc>
        <w:tc>
          <w:tcPr>
            <w:tcW w:w="488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c>
          <w:tcPr>
            <w:tcW w:w="50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c>
          <w:tcPr>
            <w:tcW w:w="108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r>
      <w:tr>
        <w:tblPrEx>
          <w:tblCellMar>
            <w:top w:w="0" w:type="dxa"/>
            <w:left w:w="108" w:type="dxa"/>
            <w:bottom w:w="0" w:type="dxa"/>
            <w:right w:w="108" w:type="dxa"/>
          </w:tblCellMar>
        </w:tblPrEx>
        <w:trPr>
          <w:trHeight w:val="810" w:hRule="atLeast"/>
        </w:trPr>
        <w:tc>
          <w:tcPr>
            <w:tcW w:w="60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1</w:t>
            </w:r>
          </w:p>
        </w:tc>
        <w:tc>
          <w:tcPr>
            <w:tcW w:w="12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企业资质</w:t>
            </w:r>
          </w:p>
        </w:tc>
        <w:tc>
          <w:tcPr>
            <w:tcW w:w="64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10</w:t>
            </w:r>
          </w:p>
        </w:tc>
        <w:tc>
          <w:tcPr>
            <w:tcW w:w="488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ascii="Times New Roman" w:hAnsi="Times New Roman" w:cs="Times New Roman"/>
                <w:kern w:val="0"/>
                <w:sz w:val="22"/>
              </w:rPr>
              <w:t>在中国证券投资基金业协会完成私募基金管理人登记三年及以上，</w:t>
            </w:r>
            <w:r>
              <w:rPr>
                <w:rFonts w:hint="eastAsia" w:ascii="Times New Roman" w:hAnsi="Times New Roman" w:cs="Times New Roman"/>
                <w:kern w:val="0"/>
                <w:sz w:val="22"/>
              </w:rPr>
              <w:t>实缴注册资本金</w:t>
            </w:r>
            <w:r>
              <w:rPr>
                <w:rFonts w:ascii="Times New Roman" w:hAnsi="Times New Roman" w:cs="Times New Roman"/>
                <w:kern w:val="0"/>
                <w:sz w:val="22"/>
              </w:rPr>
              <w:t>5</w:t>
            </w:r>
            <w:r>
              <w:rPr>
                <w:rFonts w:hint="eastAsia" w:ascii="Times New Roman" w:hAnsi="Times New Roman" w:cs="Times New Roman"/>
                <w:kern w:val="0"/>
                <w:sz w:val="22"/>
              </w:rPr>
              <w:t>亿以上，</w:t>
            </w:r>
            <w:r>
              <w:rPr>
                <w:rFonts w:ascii="Times New Roman" w:hAnsi="Times New Roman" w:cs="Times New Roman"/>
                <w:kern w:val="0"/>
                <w:sz w:val="22"/>
              </w:rPr>
              <w:t>已有1支私募股权投资基金产品在中国证券投资基金业协会完成备案。</w:t>
            </w:r>
          </w:p>
        </w:tc>
        <w:tc>
          <w:tcPr>
            <w:tcW w:w="50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5</w:t>
            </w:r>
          </w:p>
        </w:tc>
        <w:tc>
          <w:tcPr>
            <w:tcW w:w="108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r>
      <w:tr>
        <w:tblPrEx>
          <w:tblCellMar>
            <w:top w:w="0" w:type="dxa"/>
            <w:left w:w="108" w:type="dxa"/>
            <w:bottom w:w="0" w:type="dxa"/>
            <w:right w:w="108" w:type="dxa"/>
          </w:tblCellMar>
        </w:tblPrEx>
        <w:trPr>
          <w:trHeight w:val="810" w:hRule="atLeast"/>
        </w:trPr>
        <w:tc>
          <w:tcPr>
            <w:tcW w:w="60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122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64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488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ascii="Times New Roman" w:hAnsi="Times New Roman" w:cs="Times New Roman"/>
                <w:kern w:val="0"/>
                <w:sz w:val="22"/>
              </w:rPr>
              <w:t>在中国证券投资基金业协会完成私募基金管理人登记三年及以上，</w:t>
            </w:r>
            <w:r>
              <w:rPr>
                <w:rFonts w:hint="eastAsia" w:ascii="Times New Roman" w:hAnsi="Times New Roman" w:cs="Times New Roman"/>
                <w:kern w:val="0"/>
                <w:sz w:val="22"/>
              </w:rPr>
              <w:t>实缴注册资本金</w:t>
            </w:r>
            <w:r>
              <w:rPr>
                <w:rFonts w:ascii="Times New Roman" w:hAnsi="Times New Roman" w:cs="Times New Roman"/>
                <w:kern w:val="0"/>
                <w:sz w:val="22"/>
              </w:rPr>
              <w:t>10</w:t>
            </w:r>
            <w:r>
              <w:rPr>
                <w:rFonts w:hint="eastAsia" w:ascii="Times New Roman" w:hAnsi="Times New Roman" w:cs="Times New Roman"/>
                <w:kern w:val="0"/>
                <w:sz w:val="22"/>
              </w:rPr>
              <w:t>亿以上，</w:t>
            </w:r>
            <w:r>
              <w:rPr>
                <w:rFonts w:ascii="Times New Roman" w:hAnsi="Times New Roman" w:cs="Times New Roman"/>
                <w:kern w:val="0"/>
                <w:sz w:val="22"/>
              </w:rPr>
              <w:t>已有3支私募股权投资基金产品在中国证券投资基金业协会完成备案。</w:t>
            </w:r>
          </w:p>
        </w:tc>
        <w:tc>
          <w:tcPr>
            <w:tcW w:w="50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10</w:t>
            </w:r>
          </w:p>
        </w:tc>
        <w:tc>
          <w:tcPr>
            <w:tcW w:w="108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r>
      <w:tr>
        <w:tblPrEx>
          <w:tblCellMar>
            <w:top w:w="0" w:type="dxa"/>
            <w:left w:w="108" w:type="dxa"/>
            <w:bottom w:w="0" w:type="dxa"/>
            <w:right w:w="108" w:type="dxa"/>
          </w:tblCellMar>
        </w:tblPrEx>
        <w:trPr>
          <w:trHeight w:val="810" w:hRule="atLeast"/>
        </w:trPr>
        <w:tc>
          <w:tcPr>
            <w:tcW w:w="60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2</w:t>
            </w:r>
          </w:p>
        </w:tc>
        <w:tc>
          <w:tcPr>
            <w:tcW w:w="12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企业业绩</w:t>
            </w:r>
          </w:p>
        </w:tc>
        <w:tc>
          <w:tcPr>
            <w:tcW w:w="64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highlight w:val="none"/>
              </w:rPr>
            </w:pPr>
            <w:r>
              <w:rPr>
                <w:rFonts w:ascii="Times New Roman" w:hAnsi="Times New Roman" w:cs="Times New Roman"/>
                <w:kern w:val="0"/>
                <w:sz w:val="22"/>
                <w:highlight w:val="none"/>
              </w:rPr>
              <w:t>15</w:t>
            </w:r>
          </w:p>
        </w:tc>
        <w:tc>
          <w:tcPr>
            <w:tcW w:w="488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highlight w:val="none"/>
              </w:rPr>
            </w:pPr>
            <w:r>
              <w:rPr>
                <w:rFonts w:hint="eastAsia" w:ascii="Times New Roman" w:hAnsi="Times New Roman" w:cs="Times New Roman"/>
                <w:kern w:val="0"/>
                <w:sz w:val="22"/>
                <w:highlight w:val="none"/>
              </w:rPr>
              <w:t>至少完成一个基金的退出</w:t>
            </w:r>
          </w:p>
        </w:tc>
        <w:tc>
          <w:tcPr>
            <w:tcW w:w="50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5</w:t>
            </w:r>
          </w:p>
        </w:tc>
        <w:tc>
          <w:tcPr>
            <w:tcW w:w="108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r>
      <w:tr>
        <w:tblPrEx>
          <w:tblCellMar>
            <w:top w:w="0" w:type="dxa"/>
            <w:left w:w="108" w:type="dxa"/>
            <w:bottom w:w="0" w:type="dxa"/>
            <w:right w:w="108" w:type="dxa"/>
          </w:tblCellMar>
        </w:tblPrEx>
        <w:trPr>
          <w:trHeight w:val="810" w:hRule="atLeast"/>
        </w:trPr>
        <w:tc>
          <w:tcPr>
            <w:tcW w:w="60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122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64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488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ascii="Times New Roman" w:hAnsi="Times New Roman" w:cs="Times New Roman"/>
                <w:kern w:val="0"/>
                <w:sz w:val="22"/>
              </w:rPr>
              <w:t>至少完成两个基金的退出</w:t>
            </w:r>
            <w:r>
              <w:rPr>
                <w:rFonts w:hint="eastAsia" w:ascii="Times New Roman" w:hAnsi="Times New Roman" w:cs="Times New Roman"/>
                <w:kern w:val="0"/>
                <w:sz w:val="22"/>
              </w:rPr>
              <w:t>。</w:t>
            </w:r>
            <w:r>
              <w:rPr>
                <w:rFonts w:ascii="Times New Roman" w:hAnsi="Times New Roman" w:cs="Times New Roman"/>
                <w:kern w:val="0"/>
                <w:sz w:val="22"/>
              </w:rPr>
              <w:t>基金管理人</w:t>
            </w:r>
            <w:r>
              <w:rPr>
                <w:rFonts w:hint="eastAsia" w:ascii="Times New Roman" w:hAnsi="Times New Roman" w:cs="Times New Roman"/>
                <w:kern w:val="0"/>
                <w:sz w:val="22"/>
              </w:rPr>
              <w:t>所投项目有</w:t>
            </w:r>
            <w:r>
              <w:rPr>
                <w:rFonts w:ascii="Times New Roman" w:hAnsi="Times New Roman" w:cs="Times New Roman"/>
                <w:kern w:val="0"/>
                <w:sz w:val="22"/>
              </w:rPr>
              <w:t>不低于</w:t>
            </w:r>
            <w:r>
              <w:rPr>
                <w:rFonts w:hint="eastAsia" w:ascii="Times New Roman" w:hAnsi="Times New Roman" w:cs="Times New Roman"/>
                <w:kern w:val="0"/>
                <w:sz w:val="22"/>
              </w:rPr>
              <w:t>2</w:t>
            </w:r>
            <w:r>
              <w:rPr>
                <w:rFonts w:ascii="Times New Roman" w:hAnsi="Times New Roman" w:cs="Times New Roman"/>
                <w:kern w:val="0"/>
                <w:sz w:val="22"/>
              </w:rPr>
              <w:t>个上市</w:t>
            </w:r>
            <w:r>
              <w:rPr>
                <w:rFonts w:hint="eastAsia" w:ascii="Times New Roman" w:hAnsi="Times New Roman" w:cs="Times New Roman"/>
                <w:kern w:val="0"/>
                <w:sz w:val="22"/>
              </w:rPr>
              <w:t>或并购退出</w:t>
            </w:r>
            <w:r>
              <w:rPr>
                <w:rFonts w:ascii="Times New Roman" w:hAnsi="Times New Roman" w:cs="Times New Roman"/>
                <w:kern w:val="0"/>
                <w:sz w:val="22"/>
              </w:rPr>
              <w:t>。</w:t>
            </w:r>
          </w:p>
        </w:tc>
        <w:tc>
          <w:tcPr>
            <w:tcW w:w="50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10</w:t>
            </w:r>
          </w:p>
        </w:tc>
        <w:tc>
          <w:tcPr>
            <w:tcW w:w="108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r>
      <w:tr>
        <w:tblPrEx>
          <w:tblCellMar>
            <w:top w:w="0" w:type="dxa"/>
            <w:left w:w="108" w:type="dxa"/>
            <w:bottom w:w="0" w:type="dxa"/>
            <w:right w:w="108" w:type="dxa"/>
          </w:tblCellMar>
        </w:tblPrEx>
        <w:trPr>
          <w:trHeight w:val="810" w:hRule="atLeast"/>
        </w:trPr>
        <w:tc>
          <w:tcPr>
            <w:tcW w:w="60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122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64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488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hint="eastAsia" w:ascii="Times New Roman" w:hAnsi="Times New Roman" w:cs="Times New Roman"/>
                <w:kern w:val="0"/>
                <w:sz w:val="22"/>
              </w:rPr>
              <w:t>至少完成三个基金的退出。基金管理人所投项目有不低于</w:t>
            </w:r>
            <w:r>
              <w:rPr>
                <w:rFonts w:ascii="Times New Roman" w:hAnsi="Times New Roman" w:cs="Times New Roman"/>
                <w:kern w:val="0"/>
                <w:sz w:val="22"/>
              </w:rPr>
              <w:t>4</w:t>
            </w:r>
            <w:r>
              <w:rPr>
                <w:rFonts w:hint="eastAsia" w:ascii="Times New Roman" w:hAnsi="Times New Roman" w:cs="Times New Roman"/>
                <w:kern w:val="0"/>
                <w:sz w:val="22"/>
              </w:rPr>
              <w:t>个上市或并购退出</w:t>
            </w:r>
          </w:p>
        </w:tc>
        <w:tc>
          <w:tcPr>
            <w:tcW w:w="50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15</w:t>
            </w:r>
          </w:p>
        </w:tc>
        <w:tc>
          <w:tcPr>
            <w:tcW w:w="108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r>
      <w:tr>
        <w:tblPrEx>
          <w:tblCellMar>
            <w:top w:w="0" w:type="dxa"/>
            <w:left w:w="108" w:type="dxa"/>
            <w:bottom w:w="0" w:type="dxa"/>
            <w:right w:w="108" w:type="dxa"/>
          </w:tblCellMar>
        </w:tblPrEx>
        <w:trPr>
          <w:trHeight w:val="555" w:hRule="atLeast"/>
        </w:trPr>
        <w:tc>
          <w:tcPr>
            <w:tcW w:w="60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二</w:t>
            </w:r>
          </w:p>
        </w:tc>
        <w:tc>
          <w:tcPr>
            <w:tcW w:w="1220"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管理团队    情况</w:t>
            </w:r>
          </w:p>
        </w:tc>
        <w:tc>
          <w:tcPr>
            <w:tcW w:w="64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2</w:t>
            </w:r>
            <w:r>
              <w:rPr>
                <w:rFonts w:hint="eastAsia" w:ascii="Times New Roman" w:hAnsi="Times New Roman" w:cs="Times New Roman"/>
                <w:kern w:val="0"/>
                <w:sz w:val="22"/>
              </w:rPr>
              <w:t>0</w:t>
            </w:r>
          </w:p>
        </w:tc>
        <w:tc>
          <w:tcPr>
            <w:tcW w:w="488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ascii="Times New Roman" w:hAnsi="Times New Roman" w:cs="Times New Roman"/>
                <w:kern w:val="0"/>
                <w:sz w:val="22"/>
              </w:rPr>
              <w:t>　</w:t>
            </w:r>
          </w:p>
        </w:tc>
        <w:tc>
          <w:tcPr>
            <w:tcW w:w="50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c>
          <w:tcPr>
            <w:tcW w:w="108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r>
      <w:tr>
        <w:tblPrEx>
          <w:tblCellMar>
            <w:top w:w="0" w:type="dxa"/>
            <w:left w:w="108" w:type="dxa"/>
            <w:bottom w:w="0" w:type="dxa"/>
            <w:right w:w="108" w:type="dxa"/>
          </w:tblCellMar>
        </w:tblPrEx>
        <w:trPr>
          <w:trHeight w:val="1350" w:hRule="atLeast"/>
        </w:trPr>
        <w:tc>
          <w:tcPr>
            <w:tcW w:w="60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3</w:t>
            </w:r>
          </w:p>
        </w:tc>
        <w:tc>
          <w:tcPr>
            <w:tcW w:w="12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管理团队   能力</w:t>
            </w:r>
          </w:p>
        </w:tc>
        <w:tc>
          <w:tcPr>
            <w:tcW w:w="64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10</w:t>
            </w:r>
          </w:p>
        </w:tc>
        <w:tc>
          <w:tcPr>
            <w:tcW w:w="488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bookmarkStart w:id="5" w:name="RANGE!D10"/>
            <w:r>
              <w:rPr>
                <w:rFonts w:ascii="Times New Roman" w:hAnsi="Times New Roman" w:cs="Times New Roman"/>
                <w:kern w:val="0"/>
                <w:sz w:val="22"/>
              </w:rPr>
              <w:t>至少有</w:t>
            </w:r>
            <w:r>
              <w:rPr>
                <w:rFonts w:hint="eastAsia" w:ascii="Times New Roman" w:hAnsi="Times New Roman" w:cs="Times New Roman"/>
                <w:kern w:val="0"/>
                <w:sz w:val="22"/>
              </w:rPr>
              <w:t>2</w:t>
            </w:r>
            <w:r>
              <w:rPr>
                <w:rFonts w:ascii="Times New Roman" w:hAnsi="Times New Roman" w:cs="Times New Roman"/>
                <w:kern w:val="0"/>
                <w:sz w:val="22"/>
              </w:rPr>
              <w:t>名有执业资格证且具备3年以上股权投资管理工作经验的专职管理人员，且管理团队的负责人，具有5年以上相关基金从业经验。</w:t>
            </w:r>
            <w:bookmarkEnd w:id="5"/>
          </w:p>
        </w:tc>
        <w:tc>
          <w:tcPr>
            <w:tcW w:w="50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5</w:t>
            </w:r>
          </w:p>
        </w:tc>
        <w:tc>
          <w:tcPr>
            <w:tcW w:w="108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r>
      <w:tr>
        <w:tblPrEx>
          <w:tblCellMar>
            <w:top w:w="0" w:type="dxa"/>
            <w:left w:w="108" w:type="dxa"/>
            <w:bottom w:w="0" w:type="dxa"/>
            <w:right w:w="108" w:type="dxa"/>
          </w:tblCellMar>
        </w:tblPrEx>
        <w:trPr>
          <w:trHeight w:val="1350" w:hRule="atLeast"/>
        </w:trPr>
        <w:tc>
          <w:tcPr>
            <w:tcW w:w="60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122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64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488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ascii="Times New Roman" w:hAnsi="Times New Roman" w:cs="Times New Roman"/>
                <w:kern w:val="0"/>
                <w:sz w:val="22"/>
              </w:rPr>
              <w:t>至少有3名有执业资格证且具备</w:t>
            </w:r>
            <w:r>
              <w:rPr>
                <w:rFonts w:hint="eastAsia" w:ascii="Times New Roman" w:hAnsi="Times New Roman" w:cs="Times New Roman"/>
                <w:kern w:val="0"/>
                <w:sz w:val="22"/>
              </w:rPr>
              <w:t>4</w:t>
            </w:r>
            <w:r>
              <w:rPr>
                <w:rFonts w:ascii="Times New Roman" w:hAnsi="Times New Roman" w:cs="Times New Roman"/>
                <w:kern w:val="0"/>
                <w:sz w:val="22"/>
              </w:rPr>
              <w:t>年以上股权投资管理工作经验的专职管理人员，管理团队的负责人，具有8年以上相关基金从业经验。</w:t>
            </w:r>
          </w:p>
        </w:tc>
        <w:tc>
          <w:tcPr>
            <w:tcW w:w="50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10</w:t>
            </w:r>
          </w:p>
        </w:tc>
        <w:tc>
          <w:tcPr>
            <w:tcW w:w="108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r>
      <w:tr>
        <w:tblPrEx>
          <w:tblCellMar>
            <w:top w:w="0" w:type="dxa"/>
            <w:left w:w="108" w:type="dxa"/>
            <w:bottom w:w="0" w:type="dxa"/>
            <w:right w:w="108" w:type="dxa"/>
          </w:tblCellMar>
        </w:tblPrEx>
        <w:trPr>
          <w:trHeight w:val="1080" w:hRule="atLeast"/>
        </w:trPr>
        <w:tc>
          <w:tcPr>
            <w:tcW w:w="60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4</w:t>
            </w:r>
          </w:p>
        </w:tc>
        <w:tc>
          <w:tcPr>
            <w:tcW w:w="12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管理团队    业绩</w:t>
            </w:r>
          </w:p>
        </w:tc>
        <w:tc>
          <w:tcPr>
            <w:tcW w:w="64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1</w:t>
            </w:r>
            <w:r>
              <w:rPr>
                <w:rFonts w:hint="eastAsia" w:ascii="Times New Roman" w:hAnsi="Times New Roman" w:cs="Times New Roman"/>
                <w:kern w:val="0"/>
                <w:sz w:val="22"/>
              </w:rPr>
              <w:t>0</w:t>
            </w:r>
          </w:p>
        </w:tc>
        <w:tc>
          <w:tcPr>
            <w:tcW w:w="488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ascii="Times New Roman" w:hAnsi="Times New Roman" w:cs="Times New Roman"/>
                <w:kern w:val="0"/>
                <w:sz w:val="22"/>
              </w:rPr>
              <w:t>管理团队实际管理基金需有不低于两个IPO成功上市或被上市公司并购项目。管理团队的负责人具有管理政府产业基金、母基金的相关经验，实际管理的基金总规模不低于5亿元。</w:t>
            </w:r>
          </w:p>
        </w:tc>
        <w:tc>
          <w:tcPr>
            <w:tcW w:w="50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hint="eastAsia" w:ascii="Times New Roman" w:hAnsi="Times New Roman" w:cs="Times New Roman"/>
                <w:kern w:val="0"/>
                <w:sz w:val="22"/>
              </w:rPr>
              <w:t>4</w:t>
            </w:r>
          </w:p>
        </w:tc>
        <w:tc>
          <w:tcPr>
            <w:tcW w:w="1080" w:type="dxa"/>
            <w:vMerge w:val="restart"/>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r>
      <w:tr>
        <w:tblPrEx>
          <w:tblCellMar>
            <w:top w:w="0" w:type="dxa"/>
            <w:left w:w="108" w:type="dxa"/>
            <w:bottom w:w="0" w:type="dxa"/>
            <w:right w:w="108" w:type="dxa"/>
          </w:tblCellMar>
        </w:tblPrEx>
        <w:trPr>
          <w:trHeight w:val="540" w:hRule="atLeast"/>
        </w:trPr>
        <w:tc>
          <w:tcPr>
            <w:tcW w:w="60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122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64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4880"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ascii="Times New Roman" w:hAnsi="Times New Roman" w:cs="Times New Roman"/>
                <w:kern w:val="0"/>
                <w:sz w:val="22"/>
              </w:rPr>
              <w:t>管理团队实际管理基金每增加一个IPO成功上市或被上市公司并购项目加3分，最多加</w:t>
            </w:r>
            <w:r>
              <w:rPr>
                <w:rFonts w:hint="eastAsia" w:ascii="Times New Roman" w:hAnsi="Times New Roman" w:cs="Times New Roman"/>
                <w:kern w:val="0"/>
                <w:sz w:val="22"/>
              </w:rPr>
              <w:t>6</w:t>
            </w:r>
            <w:r>
              <w:rPr>
                <w:rFonts w:ascii="Times New Roman" w:hAnsi="Times New Roman" w:cs="Times New Roman"/>
                <w:kern w:val="0"/>
                <w:sz w:val="22"/>
              </w:rPr>
              <w:t>分。</w:t>
            </w:r>
          </w:p>
        </w:tc>
        <w:tc>
          <w:tcPr>
            <w:tcW w:w="500" w:type="dxa"/>
            <w:tcBorders>
              <w:top w:val="nil"/>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hint="eastAsia" w:ascii="Times New Roman" w:hAnsi="Times New Roman" w:cs="Times New Roman"/>
                <w:kern w:val="0"/>
                <w:sz w:val="22"/>
              </w:rPr>
              <w:t>6</w:t>
            </w:r>
          </w:p>
        </w:tc>
        <w:tc>
          <w:tcPr>
            <w:tcW w:w="1080"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r>
      <w:tr>
        <w:tblPrEx>
          <w:tblCellMar>
            <w:top w:w="0" w:type="dxa"/>
            <w:left w:w="108" w:type="dxa"/>
            <w:bottom w:w="0" w:type="dxa"/>
            <w:right w:w="108" w:type="dxa"/>
          </w:tblCellMar>
        </w:tblPrEx>
        <w:trPr>
          <w:trHeight w:val="570"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三</w:t>
            </w:r>
          </w:p>
        </w:tc>
        <w:tc>
          <w:tcPr>
            <w:tcW w:w="122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产业发展     能力</w:t>
            </w:r>
          </w:p>
        </w:tc>
        <w:tc>
          <w:tcPr>
            <w:tcW w:w="64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2</w:t>
            </w:r>
            <w:r>
              <w:rPr>
                <w:rFonts w:hint="eastAsia" w:ascii="Times New Roman" w:hAnsi="Times New Roman" w:cs="Times New Roman"/>
                <w:kern w:val="0"/>
                <w:sz w:val="22"/>
              </w:rPr>
              <w:t>0</w:t>
            </w:r>
          </w:p>
        </w:tc>
        <w:tc>
          <w:tcPr>
            <w:tcW w:w="488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ascii="Times New Roman" w:hAnsi="Times New Roman" w:cs="Times New Roman"/>
                <w:kern w:val="0"/>
                <w:sz w:val="22"/>
              </w:rPr>
              <w:t>　</w:t>
            </w:r>
          </w:p>
        </w:tc>
        <w:tc>
          <w:tcPr>
            <w:tcW w:w="50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c>
          <w:tcPr>
            <w:tcW w:w="108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r>
      <w:tr>
        <w:tblPrEx>
          <w:tblCellMar>
            <w:top w:w="0" w:type="dxa"/>
            <w:left w:w="108" w:type="dxa"/>
            <w:bottom w:w="0" w:type="dxa"/>
            <w:right w:w="108" w:type="dxa"/>
          </w:tblCellMar>
        </w:tblPrEx>
        <w:trPr>
          <w:trHeight w:val="540" w:hRule="atLeast"/>
        </w:trPr>
        <w:tc>
          <w:tcPr>
            <w:tcW w:w="600"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5</w:t>
            </w:r>
          </w:p>
        </w:tc>
        <w:tc>
          <w:tcPr>
            <w:tcW w:w="12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先进制造业市场</w:t>
            </w:r>
          </w:p>
          <w:p>
            <w:pPr>
              <w:widowControl/>
              <w:jc w:val="center"/>
              <w:rPr>
                <w:rFonts w:ascii="Times New Roman" w:hAnsi="Times New Roman" w:cs="Times New Roman"/>
                <w:kern w:val="0"/>
                <w:sz w:val="22"/>
              </w:rPr>
            </w:pPr>
            <w:r>
              <w:rPr>
                <w:rFonts w:ascii="Times New Roman" w:hAnsi="Times New Roman" w:cs="Times New Roman"/>
                <w:kern w:val="0"/>
                <w:sz w:val="22"/>
              </w:rPr>
              <w:t>协同整合能力</w:t>
            </w:r>
          </w:p>
        </w:tc>
        <w:tc>
          <w:tcPr>
            <w:tcW w:w="640"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hint="eastAsia" w:ascii="Times New Roman" w:hAnsi="Times New Roman" w:cs="Times New Roman"/>
                <w:kern w:val="0"/>
                <w:sz w:val="22"/>
              </w:rPr>
              <w:t>20</w:t>
            </w:r>
          </w:p>
        </w:tc>
        <w:tc>
          <w:tcPr>
            <w:tcW w:w="488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ascii="Times New Roman" w:hAnsi="Times New Roman" w:cs="Times New Roman"/>
                <w:kern w:val="0"/>
                <w:sz w:val="22"/>
              </w:rPr>
              <w:t>有与院士、国家千人计划高层次人才、知名科学家等行业专家成功合作案例。</w:t>
            </w:r>
          </w:p>
        </w:tc>
        <w:tc>
          <w:tcPr>
            <w:tcW w:w="50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hint="eastAsia" w:ascii="Times New Roman" w:hAnsi="Times New Roman" w:cs="Times New Roman"/>
                <w:kern w:val="0"/>
                <w:sz w:val="22"/>
              </w:rPr>
              <w:t>4</w:t>
            </w:r>
          </w:p>
        </w:tc>
        <w:tc>
          <w:tcPr>
            <w:tcW w:w="1080"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r>
      <w:tr>
        <w:tblPrEx>
          <w:tblCellMar>
            <w:top w:w="0" w:type="dxa"/>
            <w:left w:w="108" w:type="dxa"/>
            <w:bottom w:w="0" w:type="dxa"/>
            <w:right w:w="108" w:type="dxa"/>
          </w:tblCellMar>
        </w:tblPrEx>
        <w:trPr>
          <w:trHeight w:val="810" w:hRule="atLeas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12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6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488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ascii="Times New Roman" w:hAnsi="Times New Roman" w:cs="Times New Roman"/>
                <w:kern w:val="0"/>
                <w:sz w:val="22"/>
              </w:rPr>
              <w:t>具备</w:t>
            </w:r>
            <w:r>
              <w:rPr>
                <w:rFonts w:hint="eastAsia" w:ascii="Times New Roman" w:hAnsi="Times New Roman" w:cs="Times New Roman"/>
                <w:kern w:val="0"/>
                <w:sz w:val="22"/>
              </w:rPr>
              <w:t>新能源新材料、汽车零部件、高端装备制造、食品医药、物联网、大数据、人工智能、5G新基建等</w:t>
            </w:r>
            <w:r>
              <w:rPr>
                <w:rFonts w:ascii="Times New Roman" w:hAnsi="Times New Roman" w:cs="Times New Roman"/>
                <w:kern w:val="0"/>
                <w:sz w:val="22"/>
              </w:rPr>
              <w:t>专业技术背景，且能带动相关产业落地。有相关项目业绩，每个得3分，最多</w:t>
            </w:r>
            <w:r>
              <w:rPr>
                <w:rFonts w:hint="eastAsia" w:ascii="Times New Roman" w:hAnsi="Times New Roman" w:cs="Times New Roman"/>
                <w:kern w:val="0"/>
                <w:sz w:val="22"/>
              </w:rPr>
              <w:t>6</w:t>
            </w:r>
            <w:r>
              <w:rPr>
                <w:rFonts w:ascii="Times New Roman" w:hAnsi="Times New Roman" w:cs="Times New Roman"/>
                <w:kern w:val="0"/>
                <w:sz w:val="22"/>
              </w:rPr>
              <w:t>分。</w:t>
            </w:r>
          </w:p>
        </w:tc>
        <w:tc>
          <w:tcPr>
            <w:tcW w:w="50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hint="eastAsia" w:ascii="Times New Roman" w:hAnsi="Times New Roman" w:cs="Times New Roman"/>
                <w:kern w:val="0"/>
                <w:sz w:val="22"/>
              </w:rPr>
              <w:t>6</w:t>
            </w: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r>
      <w:tr>
        <w:tblPrEx>
          <w:tblCellMar>
            <w:top w:w="0" w:type="dxa"/>
            <w:left w:w="108" w:type="dxa"/>
            <w:bottom w:w="0" w:type="dxa"/>
            <w:right w:w="108" w:type="dxa"/>
          </w:tblCellMar>
        </w:tblPrEx>
        <w:trPr>
          <w:trHeight w:val="810" w:hRule="atLeas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12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6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488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ascii="Times New Roman" w:hAnsi="Times New Roman" w:cs="Times New Roman"/>
                <w:kern w:val="0"/>
                <w:sz w:val="22"/>
              </w:rPr>
              <w:t>有与地方政府合作打造先进制造业产业集群发展经验。有相关项目业绩，每个得5分，最多得10分。</w:t>
            </w:r>
          </w:p>
        </w:tc>
        <w:tc>
          <w:tcPr>
            <w:tcW w:w="50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10</w:t>
            </w: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r>
      <w:tr>
        <w:tblPrEx>
          <w:tblCellMar>
            <w:top w:w="0" w:type="dxa"/>
            <w:left w:w="108" w:type="dxa"/>
            <w:bottom w:w="0" w:type="dxa"/>
            <w:right w:w="108" w:type="dxa"/>
          </w:tblCellMar>
        </w:tblPrEx>
        <w:trPr>
          <w:trHeight w:val="480"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四</w:t>
            </w:r>
          </w:p>
        </w:tc>
        <w:tc>
          <w:tcPr>
            <w:tcW w:w="122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基金方案</w:t>
            </w:r>
          </w:p>
        </w:tc>
        <w:tc>
          <w:tcPr>
            <w:tcW w:w="64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hint="eastAsia" w:ascii="Times New Roman" w:hAnsi="Times New Roman" w:cs="Times New Roman"/>
                <w:kern w:val="0"/>
                <w:sz w:val="22"/>
              </w:rPr>
              <w:t>35</w:t>
            </w:r>
          </w:p>
        </w:tc>
        <w:tc>
          <w:tcPr>
            <w:tcW w:w="488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p>
        </w:tc>
        <w:tc>
          <w:tcPr>
            <w:tcW w:w="50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c>
          <w:tcPr>
            <w:tcW w:w="108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r>
      <w:tr>
        <w:tblPrEx>
          <w:tblCellMar>
            <w:top w:w="0" w:type="dxa"/>
            <w:left w:w="108" w:type="dxa"/>
            <w:bottom w:w="0" w:type="dxa"/>
            <w:right w:w="108" w:type="dxa"/>
          </w:tblCellMar>
        </w:tblPrEx>
        <w:trPr>
          <w:trHeight w:val="540" w:hRule="atLeast"/>
        </w:trPr>
        <w:tc>
          <w:tcPr>
            <w:tcW w:w="600"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6</w:t>
            </w:r>
          </w:p>
        </w:tc>
        <w:tc>
          <w:tcPr>
            <w:tcW w:w="12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cs="Times New Roman"/>
                <w:kern w:val="0"/>
                <w:sz w:val="22"/>
              </w:rPr>
            </w:pPr>
            <w:r>
              <w:rPr>
                <w:rFonts w:hint="eastAsia" w:ascii="Times New Roman" w:hAnsi="Times New Roman" w:cs="Times New Roman"/>
                <w:kern w:val="0"/>
                <w:sz w:val="22"/>
              </w:rPr>
              <w:t>核心条款</w:t>
            </w:r>
          </w:p>
        </w:tc>
        <w:tc>
          <w:tcPr>
            <w:tcW w:w="640"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hint="eastAsia" w:ascii="Times New Roman" w:hAnsi="Times New Roman" w:cs="Times New Roman"/>
                <w:kern w:val="0"/>
                <w:sz w:val="22"/>
              </w:rPr>
              <w:t>35</w:t>
            </w:r>
          </w:p>
        </w:tc>
        <w:tc>
          <w:tcPr>
            <w:tcW w:w="488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hint="eastAsia" w:ascii="Times New Roman" w:hAnsi="Times New Roman" w:cs="Times New Roman"/>
                <w:kern w:val="0"/>
                <w:sz w:val="22"/>
              </w:rPr>
              <w:t>自有资金出资比例1%得1分，每提高1%得1分，最多得20分。</w:t>
            </w:r>
          </w:p>
        </w:tc>
        <w:tc>
          <w:tcPr>
            <w:tcW w:w="50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hint="eastAsia" w:ascii="Times New Roman" w:hAnsi="Times New Roman" w:cs="Times New Roman"/>
                <w:kern w:val="0"/>
                <w:sz w:val="22"/>
              </w:rPr>
              <w:t>20</w:t>
            </w:r>
          </w:p>
        </w:tc>
        <w:tc>
          <w:tcPr>
            <w:tcW w:w="1080"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　</w:t>
            </w:r>
          </w:p>
        </w:tc>
      </w:tr>
      <w:tr>
        <w:tblPrEx>
          <w:tblCellMar>
            <w:top w:w="0" w:type="dxa"/>
            <w:left w:w="108" w:type="dxa"/>
            <w:bottom w:w="0" w:type="dxa"/>
            <w:right w:w="108" w:type="dxa"/>
          </w:tblCellMar>
        </w:tblPrEx>
        <w:trPr>
          <w:trHeight w:val="270" w:hRule="atLeas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12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6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488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hint="eastAsia" w:ascii="Times New Roman" w:hAnsi="Times New Roman" w:cs="Times New Roman" w:eastAsiaTheme="minorEastAsia"/>
                <w:kern w:val="0"/>
                <w:sz w:val="22"/>
                <w:szCs w:val="22"/>
              </w:rPr>
              <w:t>返投比例</w:t>
            </w:r>
            <w:r>
              <w:rPr>
                <w:rFonts w:hint="eastAsia" w:ascii="Times New Roman" w:hAnsi="Times New Roman" w:cs="Times New Roman" w:eastAsiaTheme="minorEastAsia"/>
                <w:kern w:val="0"/>
                <w:sz w:val="22"/>
                <w:szCs w:val="22"/>
                <w:lang w:eastAsia="zh-CN"/>
              </w:rPr>
              <w:t>占</w:t>
            </w:r>
            <w:r>
              <w:rPr>
                <w:rFonts w:hint="eastAsia" w:ascii="Times New Roman" w:hAnsi="Times New Roman" w:cs="Times New Roman"/>
                <w:kern w:val="0"/>
                <w:sz w:val="22"/>
                <w:szCs w:val="22"/>
                <w:lang w:eastAsia="zh-CN"/>
              </w:rPr>
              <w:t>宛陵科创</w:t>
            </w:r>
            <w:r>
              <w:rPr>
                <w:rFonts w:hint="eastAsia" w:ascii="Times New Roman" w:hAnsi="Times New Roman" w:cs="Times New Roman" w:eastAsiaTheme="minorEastAsia"/>
                <w:kern w:val="0"/>
                <w:sz w:val="22"/>
                <w:szCs w:val="22"/>
                <w:lang w:eastAsia="zh-CN"/>
              </w:rPr>
              <w:t>公司</w:t>
            </w:r>
            <w:r>
              <w:rPr>
                <w:rFonts w:hint="eastAsia" w:ascii="Times New Roman" w:hAnsi="Times New Roman" w:cs="Times New Roman" w:eastAsiaTheme="minorEastAsia"/>
                <w:kern w:val="0"/>
                <w:sz w:val="22"/>
                <w:szCs w:val="22"/>
              </w:rPr>
              <w:t>出资额的60%</w:t>
            </w:r>
            <w:r>
              <w:rPr>
                <w:rFonts w:hint="eastAsia" w:ascii="Times New Roman" w:hAnsi="Times New Roman" w:cs="Times New Roman"/>
                <w:kern w:val="0"/>
                <w:sz w:val="22"/>
              </w:rPr>
              <w:t>得1分，每提高</w:t>
            </w:r>
            <w:r>
              <w:rPr>
                <w:rFonts w:hint="eastAsia" w:ascii="Times New Roman" w:hAnsi="Times New Roman" w:cs="Times New Roman"/>
                <w:kern w:val="0"/>
                <w:sz w:val="22"/>
                <w:lang w:val="en-US" w:eastAsia="zh-CN"/>
              </w:rPr>
              <w:t>10%</w:t>
            </w:r>
            <w:r>
              <w:rPr>
                <w:rFonts w:hint="eastAsia" w:ascii="Times New Roman" w:hAnsi="Times New Roman" w:cs="Times New Roman"/>
                <w:kern w:val="0"/>
                <w:sz w:val="22"/>
              </w:rPr>
              <w:t>得1分，最多得5分</w:t>
            </w:r>
          </w:p>
        </w:tc>
        <w:tc>
          <w:tcPr>
            <w:tcW w:w="50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hint="eastAsia" w:ascii="Times New Roman" w:hAnsi="Times New Roman" w:cs="Times New Roman"/>
                <w:kern w:val="0"/>
                <w:sz w:val="22"/>
              </w:rPr>
              <w:t>5</w:t>
            </w: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r>
      <w:tr>
        <w:tblPrEx>
          <w:tblCellMar>
            <w:top w:w="0" w:type="dxa"/>
            <w:left w:w="108" w:type="dxa"/>
            <w:bottom w:w="0" w:type="dxa"/>
            <w:right w:w="108" w:type="dxa"/>
          </w:tblCellMar>
        </w:tblPrEx>
        <w:trPr>
          <w:trHeight w:val="540" w:hRule="atLeas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12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6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488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hint="eastAsia" w:ascii="Times New Roman" w:hAnsi="Times New Roman" w:cs="Times New Roman"/>
                <w:kern w:val="0"/>
                <w:sz w:val="22"/>
              </w:rPr>
              <w:t>管理费高于2%得0分，每降低0.1得1分，最多得5分</w:t>
            </w:r>
          </w:p>
        </w:tc>
        <w:tc>
          <w:tcPr>
            <w:tcW w:w="50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hint="eastAsia" w:ascii="Times New Roman" w:hAnsi="Times New Roman" w:cs="Times New Roman"/>
                <w:kern w:val="0"/>
                <w:sz w:val="22"/>
              </w:rPr>
              <w:t>5</w:t>
            </w: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r>
      <w:tr>
        <w:tblPrEx>
          <w:tblCellMar>
            <w:top w:w="0" w:type="dxa"/>
            <w:left w:w="108" w:type="dxa"/>
            <w:bottom w:w="0" w:type="dxa"/>
            <w:right w:w="108" w:type="dxa"/>
          </w:tblCellMar>
        </w:tblPrEx>
        <w:trPr>
          <w:trHeight w:val="270" w:hRule="atLeas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12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6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c>
          <w:tcPr>
            <w:tcW w:w="488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hint="eastAsia" w:ascii="Times New Roman" w:hAnsi="Times New Roman" w:cs="Times New Roman"/>
                <w:kern w:val="0"/>
                <w:sz w:val="22"/>
              </w:rPr>
              <w:t>门槛收益率年化不低于6%得1分，每提高1%的1分，最多得5分</w:t>
            </w:r>
          </w:p>
        </w:tc>
        <w:tc>
          <w:tcPr>
            <w:tcW w:w="50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hint="eastAsia" w:ascii="Times New Roman" w:hAnsi="Times New Roman" w:cs="Times New Roman"/>
                <w:kern w:val="0"/>
                <w:sz w:val="22"/>
              </w:rPr>
              <w:t>5</w:t>
            </w: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Times New Roman" w:hAnsi="Times New Roman" w:cs="Times New Roman"/>
                <w:kern w:val="0"/>
                <w:sz w:val="22"/>
              </w:rPr>
            </w:pPr>
          </w:p>
        </w:tc>
      </w:tr>
      <w:tr>
        <w:tblPrEx>
          <w:tblCellMar>
            <w:top w:w="0" w:type="dxa"/>
            <w:left w:w="108" w:type="dxa"/>
            <w:bottom w:w="0" w:type="dxa"/>
            <w:right w:w="108" w:type="dxa"/>
          </w:tblCellMar>
        </w:tblPrEx>
        <w:trPr>
          <w:trHeight w:val="510" w:hRule="atLeast"/>
        </w:trPr>
        <w:tc>
          <w:tcPr>
            <w:tcW w:w="60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left"/>
              <w:rPr>
                <w:rFonts w:ascii="Times New Roman" w:hAnsi="Times New Roman" w:cs="Times New Roman"/>
                <w:kern w:val="0"/>
                <w:sz w:val="22"/>
              </w:rPr>
            </w:pPr>
            <w:r>
              <w:rPr>
                <w:rFonts w:ascii="Times New Roman" w:hAnsi="Times New Roman" w:cs="Times New Roman"/>
                <w:kern w:val="0"/>
                <w:sz w:val="22"/>
              </w:rPr>
              <w:t>　</w:t>
            </w:r>
          </w:p>
        </w:tc>
        <w:tc>
          <w:tcPr>
            <w:tcW w:w="1220"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Times New Roman" w:hAnsi="Times New Roman" w:cs="Times New Roman"/>
                <w:kern w:val="0"/>
                <w:sz w:val="22"/>
              </w:rPr>
            </w:pPr>
            <w:r>
              <w:rPr>
                <w:rFonts w:ascii="Times New Roman" w:hAnsi="Times New Roman" w:cs="Times New Roman"/>
                <w:kern w:val="0"/>
                <w:sz w:val="22"/>
              </w:rPr>
              <w:t>合计</w:t>
            </w:r>
          </w:p>
        </w:tc>
        <w:tc>
          <w:tcPr>
            <w:tcW w:w="640"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ascii="Times New Roman" w:hAnsi="Times New Roman" w:cs="Times New Roman"/>
                <w:kern w:val="0"/>
                <w:sz w:val="22"/>
              </w:rPr>
            </w:pPr>
            <w:r>
              <w:rPr>
                <w:rFonts w:ascii="Times New Roman" w:hAnsi="Times New Roman" w:cs="Times New Roman"/>
                <w:kern w:val="0"/>
                <w:sz w:val="22"/>
              </w:rPr>
              <w:t>　</w:t>
            </w:r>
          </w:p>
        </w:tc>
        <w:tc>
          <w:tcPr>
            <w:tcW w:w="488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ascii="Times New Roman" w:hAnsi="Times New Roman" w:cs="Times New Roman"/>
                <w:kern w:val="0"/>
                <w:sz w:val="22"/>
              </w:rPr>
            </w:pPr>
            <w:r>
              <w:rPr>
                <w:rFonts w:ascii="Times New Roman" w:hAnsi="Times New Roman" w:cs="Times New Roman"/>
                <w:kern w:val="0"/>
                <w:sz w:val="22"/>
              </w:rPr>
              <w:t>　</w:t>
            </w:r>
          </w:p>
        </w:tc>
        <w:tc>
          <w:tcPr>
            <w:tcW w:w="500"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ascii="Times New Roman" w:hAnsi="Times New Roman" w:cs="Times New Roman"/>
                <w:kern w:val="0"/>
                <w:sz w:val="22"/>
              </w:rPr>
            </w:pPr>
            <w:r>
              <w:rPr>
                <w:rFonts w:ascii="Times New Roman" w:hAnsi="Times New Roman" w:cs="Times New Roman"/>
                <w:kern w:val="0"/>
                <w:sz w:val="22"/>
              </w:rPr>
              <w:t>　</w:t>
            </w:r>
          </w:p>
        </w:tc>
        <w:tc>
          <w:tcPr>
            <w:tcW w:w="1080"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ascii="Times New Roman" w:hAnsi="Times New Roman" w:cs="Times New Roman"/>
                <w:kern w:val="0"/>
                <w:sz w:val="22"/>
              </w:rPr>
            </w:pPr>
            <w:r>
              <w:rPr>
                <w:rFonts w:ascii="Times New Roman" w:hAnsi="Times New Roman" w:cs="Times New Roman"/>
                <w:kern w:val="0"/>
                <w:sz w:val="22"/>
              </w:rPr>
              <w:t>　</w:t>
            </w:r>
          </w:p>
        </w:tc>
      </w:tr>
    </w:tbl>
    <w:p>
      <w:pPr>
        <w:adjustRightInd w:val="0"/>
        <w:spacing w:line="560" w:lineRule="exact"/>
        <w:ind w:firstLine="640" w:firstLineChars="200"/>
        <w:rPr>
          <w:rFonts w:ascii="Times New Roman" w:hAnsi="Times New Roman" w:eastAsia="仿宋_GB2312" w:cs="Times New Roman"/>
          <w:sz w:val="32"/>
          <w:szCs w:val="32"/>
        </w:rPr>
      </w:pPr>
    </w:p>
    <w:p>
      <w:pPr>
        <w:pStyle w:val="6"/>
        <w:shd w:val="clear" w:color="auto" w:fill="FFFFFF"/>
        <w:spacing w:before="0" w:beforeAutospacing="0" w:after="0" w:afterAutospacing="0" w:line="560" w:lineRule="exact"/>
        <w:jc w:val="both"/>
        <w:rPr>
          <w:rFonts w:ascii="Times New Roman" w:hAnsi="Times New Roman" w:eastAsia="仿宋_GB2312" w:cs="Times New Roman"/>
          <w:sz w:val="32"/>
          <w:szCs w:val="32"/>
        </w:rPr>
      </w:pPr>
    </w:p>
    <w:sectPr>
      <w:footerReference r:id="rId5" w:type="default"/>
      <w:pgSz w:w="11906" w:h="16838"/>
      <w:pgMar w:top="2098" w:right="1531" w:bottom="1985" w:left="1531" w:header="1588" w:footer="851" w:gutter="0"/>
      <w:pgNumType w:fmt="numberInDash" w:start="12"/>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方正小标宋简体">
    <w:altName w:val="黑体"/>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小标宋_GBK">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- 1 -</w:t>
                          </w:r>
                          <w:r>
                            <w:rPr>
                              <w:rFonts w:hint="eastAsia" w:ascii="仿宋_GB2312" w:hAnsi="仿宋_GB2312" w:eastAsia="仿宋_GB2312" w:cs="仿宋_GB2312"/>
                              <w:sz w:val="32"/>
                              <w:szCs w:val="3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- 1 -</w:t>
                    </w:r>
                    <w:r>
                      <w:rPr>
                        <w:rFonts w:hint="eastAsia" w:ascii="仿宋_GB2312" w:hAnsi="仿宋_GB2312" w:eastAsia="仿宋_GB2312" w:cs="仿宋_GB2312"/>
                        <w:sz w:val="32"/>
                        <w:szCs w:val="32"/>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- 9 -</w:t>
                          </w:r>
                          <w:r>
                            <w:rPr>
                              <w:rFonts w:hint="eastAsia" w:ascii="仿宋_GB2312" w:hAnsi="仿宋_GB2312" w:eastAsia="仿宋_GB2312" w:cs="仿宋_GB2312"/>
                              <w:sz w:val="32"/>
                              <w:szCs w:val="3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4"/>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- 9 -</w:t>
                    </w:r>
                    <w:r>
                      <w:rPr>
                        <w:rFonts w:hint="eastAsia" w:ascii="仿宋_GB2312" w:hAnsi="仿宋_GB2312" w:eastAsia="仿宋_GB2312" w:cs="仿宋_GB2312"/>
                        <w:sz w:val="32"/>
                        <w:szCs w:val="32"/>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- 12 -</w:t>
                          </w:r>
                          <w:r>
                            <w:rPr>
                              <w:rFonts w:hint="eastAsia" w:ascii="仿宋_GB2312" w:hAnsi="仿宋_GB2312" w:eastAsia="仿宋_GB2312" w:cs="仿宋_GB2312"/>
                              <w:sz w:val="32"/>
                              <w:szCs w:val="3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- 12 -</w:t>
                    </w:r>
                    <w:r>
                      <w:rPr>
                        <w:rFonts w:hint="eastAsia" w:ascii="仿宋_GB2312" w:hAnsi="仿宋_GB2312" w:eastAsia="仿宋_GB2312" w:cs="仿宋_GB2312"/>
                        <w:sz w:val="32"/>
                        <w:szCs w:val="32"/>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8D5E63"/>
    <w:multiLevelType w:val="singleLevel"/>
    <w:tmpl w:val="908D5E63"/>
    <w:lvl w:ilvl="0" w:tentative="0">
      <w:start w:val="1"/>
      <w:numFmt w:val="chineseCounting"/>
      <w:suff w:val="nothing"/>
      <w:lvlText w:val="%1、"/>
      <w:lvlJc w:val="left"/>
      <w:pPr>
        <w:ind w:left="0" w:firstLine="420"/>
      </w:pPr>
      <w:rPr>
        <w:rFonts w:hint="eastAsia"/>
      </w:rPr>
    </w:lvl>
  </w:abstractNum>
  <w:abstractNum w:abstractNumId="1">
    <w:nsid w:val="A06508F3"/>
    <w:multiLevelType w:val="singleLevel"/>
    <w:tmpl w:val="A06508F3"/>
    <w:lvl w:ilvl="0" w:tentative="0">
      <w:start w:val="1"/>
      <w:numFmt w:val="decimal"/>
      <w:suff w:val="nothing"/>
      <w:lvlText w:val="%1．"/>
      <w:lvlJc w:val="left"/>
      <w:pPr>
        <w:ind w:left="0" w:firstLine="400"/>
      </w:pPr>
      <w:rPr>
        <w:rFonts w:hint="default"/>
      </w:rPr>
    </w:lvl>
  </w:abstractNum>
  <w:abstractNum w:abstractNumId="2">
    <w:nsid w:val="C4F05B2D"/>
    <w:multiLevelType w:val="singleLevel"/>
    <w:tmpl w:val="C4F05B2D"/>
    <w:lvl w:ilvl="0" w:tentative="0">
      <w:start w:val="1"/>
      <w:numFmt w:val="decimal"/>
      <w:suff w:val="nothing"/>
      <w:lvlText w:val="%1．"/>
      <w:lvlJc w:val="left"/>
      <w:pPr>
        <w:ind w:left="0" w:firstLine="400"/>
      </w:pPr>
      <w:rPr>
        <w:rFonts w:hint="default"/>
      </w:rPr>
    </w:lvl>
  </w:abstractNum>
  <w:abstractNum w:abstractNumId="3">
    <w:nsid w:val="3086E8A8"/>
    <w:multiLevelType w:val="singleLevel"/>
    <w:tmpl w:val="3086E8A8"/>
    <w:lvl w:ilvl="0" w:tentative="0">
      <w:start w:val="2"/>
      <w:numFmt w:val="chineseCounting"/>
      <w:suff w:val="nothing"/>
      <w:lvlText w:val="（%1）"/>
      <w:lvlJc w:val="left"/>
      <w:rPr>
        <w:rFonts w:hint="eastAsia"/>
      </w:rPr>
    </w:lvl>
  </w:abstractNum>
  <w:abstractNum w:abstractNumId="4">
    <w:nsid w:val="49EAC15A"/>
    <w:multiLevelType w:val="singleLevel"/>
    <w:tmpl w:val="49EAC15A"/>
    <w:lvl w:ilvl="0" w:tentative="0">
      <w:start w:val="1"/>
      <w:numFmt w:val="decimal"/>
      <w:suff w:val="nothing"/>
      <w:lvlText w:val="%1．"/>
      <w:lvlJc w:val="left"/>
      <w:pPr>
        <w:ind w:left="0" w:firstLine="400"/>
      </w:pPr>
      <w:rPr>
        <w:rFonts w:hint="default"/>
      </w:rPr>
    </w:lvl>
  </w:abstractNum>
  <w:abstractNum w:abstractNumId="5">
    <w:nsid w:val="5ED11B50"/>
    <w:multiLevelType w:val="singleLevel"/>
    <w:tmpl w:val="5ED11B50"/>
    <w:lvl w:ilvl="0" w:tentative="0">
      <w:start w:val="1"/>
      <w:numFmt w:val="decimal"/>
      <w:suff w:val="nothing"/>
      <w:lvlText w:val="%1．"/>
      <w:lvlJc w:val="left"/>
      <w:pPr>
        <w:ind w:left="0" w:firstLine="400"/>
      </w:pPr>
      <w:rPr>
        <w:rFonts w:hint="default"/>
      </w:rPr>
    </w:lvl>
  </w:abstractNum>
  <w:num w:numId="1">
    <w:abstractNumId w:val="0"/>
  </w:num>
  <w:num w:numId="2">
    <w:abstractNumId w:val="3"/>
  </w:num>
  <w:num w:numId="3">
    <w:abstractNumId w:val="4"/>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trackRevisions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Q5ZTZjNTg0ZjQzM2RhYzJhNWUxMzRlMWYyY2JmMzIifQ=="/>
  </w:docVars>
  <w:rsids>
    <w:rsidRoot w:val="00F00D48"/>
    <w:rsid w:val="000160FA"/>
    <w:rsid w:val="00020A44"/>
    <w:rsid w:val="00024604"/>
    <w:rsid w:val="000469E1"/>
    <w:rsid w:val="00050B79"/>
    <w:rsid w:val="000529E3"/>
    <w:rsid w:val="00075F4A"/>
    <w:rsid w:val="000A1975"/>
    <w:rsid w:val="000A3A88"/>
    <w:rsid w:val="000B20AE"/>
    <w:rsid w:val="000B69F8"/>
    <w:rsid w:val="000C392D"/>
    <w:rsid w:val="000E7DE7"/>
    <w:rsid w:val="00100B69"/>
    <w:rsid w:val="00105D29"/>
    <w:rsid w:val="00121175"/>
    <w:rsid w:val="00121292"/>
    <w:rsid w:val="00135A3A"/>
    <w:rsid w:val="0016453D"/>
    <w:rsid w:val="00181DEA"/>
    <w:rsid w:val="001C1D02"/>
    <w:rsid w:val="001D0BD1"/>
    <w:rsid w:val="002025DF"/>
    <w:rsid w:val="00204E33"/>
    <w:rsid w:val="00236FE9"/>
    <w:rsid w:val="00255011"/>
    <w:rsid w:val="002623A6"/>
    <w:rsid w:val="00264ED0"/>
    <w:rsid w:val="00284B48"/>
    <w:rsid w:val="00295193"/>
    <w:rsid w:val="002A325D"/>
    <w:rsid w:val="002B6888"/>
    <w:rsid w:val="002C79A4"/>
    <w:rsid w:val="002F238C"/>
    <w:rsid w:val="002F2A58"/>
    <w:rsid w:val="002F40F8"/>
    <w:rsid w:val="002F609E"/>
    <w:rsid w:val="00322266"/>
    <w:rsid w:val="003402DE"/>
    <w:rsid w:val="003440E9"/>
    <w:rsid w:val="0035330A"/>
    <w:rsid w:val="003A2AF7"/>
    <w:rsid w:val="003F5C60"/>
    <w:rsid w:val="003F6A71"/>
    <w:rsid w:val="00403EA1"/>
    <w:rsid w:val="00407C70"/>
    <w:rsid w:val="004140E4"/>
    <w:rsid w:val="00425CEC"/>
    <w:rsid w:val="0042715B"/>
    <w:rsid w:val="00427F8E"/>
    <w:rsid w:val="00440616"/>
    <w:rsid w:val="00457666"/>
    <w:rsid w:val="00480CC2"/>
    <w:rsid w:val="00486BB0"/>
    <w:rsid w:val="0048739E"/>
    <w:rsid w:val="004903A3"/>
    <w:rsid w:val="0049433B"/>
    <w:rsid w:val="004C0661"/>
    <w:rsid w:val="004D5A52"/>
    <w:rsid w:val="004F0358"/>
    <w:rsid w:val="00517911"/>
    <w:rsid w:val="005312D1"/>
    <w:rsid w:val="0054385D"/>
    <w:rsid w:val="00557C91"/>
    <w:rsid w:val="005A1C6C"/>
    <w:rsid w:val="005D026B"/>
    <w:rsid w:val="005F3D51"/>
    <w:rsid w:val="00610CAC"/>
    <w:rsid w:val="00616A6D"/>
    <w:rsid w:val="00631ECA"/>
    <w:rsid w:val="006348D1"/>
    <w:rsid w:val="00662BA6"/>
    <w:rsid w:val="00666147"/>
    <w:rsid w:val="006718C5"/>
    <w:rsid w:val="0069239B"/>
    <w:rsid w:val="006963DC"/>
    <w:rsid w:val="006A4CC6"/>
    <w:rsid w:val="006B5A8E"/>
    <w:rsid w:val="006F53B0"/>
    <w:rsid w:val="007031C0"/>
    <w:rsid w:val="00723679"/>
    <w:rsid w:val="0072729F"/>
    <w:rsid w:val="00766C99"/>
    <w:rsid w:val="0078203E"/>
    <w:rsid w:val="00783607"/>
    <w:rsid w:val="007A2DB8"/>
    <w:rsid w:val="007A532B"/>
    <w:rsid w:val="007B56E7"/>
    <w:rsid w:val="00835CEF"/>
    <w:rsid w:val="0086611A"/>
    <w:rsid w:val="00873048"/>
    <w:rsid w:val="008A3DDC"/>
    <w:rsid w:val="008B33EA"/>
    <w:rsid w:val="008D03B1"/>
    <w:rsid w:val="008D77FC"/>
    <w:rsid w:val="008E6D63"/>
    <w:rsid w:val="00900D35"/>
    <w:rsid w:val="00911AA7"/>
    <w:rsid w:val="00912199"/>
    <w:rsid w:val="0092455A"/>
    <w:rsid w:val="0092683F"/>
    <w:rsid w:val="00956E8D"/>
    <w:rsid w:val="00961663"/>
    <w:rsid w:val="00966BF3"/>
    <w:rsid w:val="009758D8"/>
    <w:rsid w:val="00977F0E"/>
    <w:rsid w:val="00990001"/>
    <w:rsid w:val="009A365E"/>
    <w:rsid w:val="009C20A7"/>
    <w:rsid w:val="009C364D"/>
    <w:rsid w:val="009C3EC3"/>
    <w:rsid w:val="009C6490"/>
    <w:rsid w:val="009D43DE"/>
    <w:rsid w:val="009E7152"/>
    <w:rsid w:val="009F574C"/>
    <w:rsid w:val="009F7894"/>
    <w:rsid w:val="00A04F5D"/>
    <w:rsid w:val="00A32ECC"/>
    <w:rsid w:val="00A404B9"/>
    <w:rsid w:val="00A439E5"/>
    <w:rsid w:val="00A5018C"/>
    <w:rsid w:val="00A56CFD"/>
    <w:rsid w:val="00A57662"/>
    <w:rsid w:val="00A67A7D"/>
    <w:rsid w:val="00AA6EDD"/>
    <w:rsid w:val="00AC3C98"/>
    <w:rsid w:val="00AC463F"/>
    <w:rsid w:val="00AE658C"/>
    <w:rsid w:val="00AF3C1B"/>
    <w:rsid w:val="00B13023"/>
    <w:rsid w:val="00B2458E"/>
    <w:rsid w:val="00B308A1"/>
    <w:rsid w:val="00B34BD0"/>
    <w:rsid w:val="00B37D74"/>
    <w:rsid w:val="00B51DDD"/>
    <w:rsid w:val="00B74589"/>
    <w:rsid w:val="00B87FBF"/>
    <w:rsid w:val="00BB15D3"/>
    <w:rsid w:val="00BC0F0F"/>
    <w:rsid w:val="00BC4C70"/>
    <w:rsid w:val="00BC5FB4"/>
    <w:rsid w:val="00BC7E88"/>
    <w:rsid w:val="00BD4A86"/>
    <w:rsid w:val="00BF4A7B"/>
    <w:rsid w:val="00C2492B"/>
    <w:rsid w:val="00C27FD8"/>
    <w:rsid w:val="00C3427A"/>
    <w:rsid w:val="00C736B7"/>
    <w:rsid w:val="00C74250"/>
    <w:rsid w:val="00C84E3B"/>
    <w:rsid w:val="00C86183"/>
    <w:rsid w:val="00CC09A2"/>
    <w:rsid w:val="00CC1C8C"/>
    <w:rsid w:val="00CC2604"/>
    <w:rsid w:val="00CF79D2"/>
    <w:rsid w:val="00D06C7B"/>
    <w:rsid w:val="00D11092"/>
    <w:rsid w:val="00D16C41"/>
    <w:rsid w:val="00D31177"/>
    <w:rsid w:val="00D32C1E"/>
    <w:rsid w:val="00D66D59"/>
    <w:rsid w:val="00D831F4"/>
    <w:rsid w:val="00D93D1A"/>
    <w:rsid w:val="00D95646"/>
    <w:rsid w:val="00DB6BCC"/>
    <w:rsid w:val="00E03E8D"/>
    <w:rsid w:val="00E11D54"/>
    <w:rsid w:val="00E16579"/>
    <w:rsid w:val="00E34169"/>
    <w:rsid w:val="00E3564D"/>
    <w:rsid w:val="00E463F3"/>
    <w:rsid w:val="00E6279A"/>
    <w:rsid w:val="00E928B5"/>
    <w:rsid w:val="00EB1E10"/>
    <w:rsid w:val="00EB7A93"/>
    <w:rsid w:val="00ED2261"/>
    <w:rsid w:val="00ED57A2"/>
    <w:rsid w:val="00EF4440"/>
    <w:rsid w:val="00EF7642"/>
    <w:rsid w:val="00F00D48"/>
    <w:rsid w:val="00F01151"/>
    <w:rsid w:val="00F04676"/>
    <w:rsid w:val="00F71568"/>
    <w:rsid w:val="00F73ADF"/>
    <w:rsid w:val="00F77ACE"/>
    <w:rsid w:val="00F8309A"/>
    <w:rsid w:val="00F914FB"/>
    <w:rsid w:val="00FA3218"/>
    <w:rsid w:val="00FC425C"/>
    <w:rsid w:val="00FF45E5"/>
    <w:rsid w:val="07BE76B0"/>
    <w:rsid w:val="0AA364F0"/>
    <w:rsid w:val="1B431349"/>
    <w:rsid w:val="1ECD484B"/>
    <w:rsid w:val="24F25C09"/>
    <w:rsid w:val="2D6F0794"/>
    <w:rsid w:val="32210D42"/>
    <w:rsid w:val="36660E97"/>
    <w:rsid w:val="3865082B"/>
    <w:rsid w:val="3C9E5FCA"/>
    <w:rsid w:val="466A3890"/>
    <w:rsid w:val="4A732188"/>
    <w:rsid w:val="525D7759"/>
    <w:rsid w:val="58424CA3"/>
    <w:rsid w:val="657F1D95"/>
    <w:rsid w:val="685413A6"/>
    <w:rsid w:val="76B16D99"/>
    <w:rsid w:val="7CC76992"/>
    <w:rsid w:val="7EFF760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5"/>
    <w:semiHidden/>
    <w:unhideWhenUsed/>
    <w:qFormat/>
    <w:uiPriority w:val="99"/>
    <w:pPr>
      <w:jc w:val="left"/>
    </w:pPr>
  </w:style>
  <w:style w:type="paragraph" w:styleId="3">
    <w:name w:val="Balloon Text"/>
    <w:basedOn w:val="1"/>
    <w:link w:val="14"/>
    <w:semiHidden/>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7">
    <w:name w:val="annotation subject"/>
    <w:basedOn w:val="2"/>
    <w:next w:val="2"/>
    <w:link w:val="16"/>
    <w:semiHidden/>
    <w:unhideWhenUsed/>
    <w:qFormat/>
    <w:uiPriority w:val="99"/>
    <w:rPr>
      <w:b/>
      <w:bCs/>
    </w:rPr>
  </w:style>
  <w:style w:type="character" w:styleId="10">
    <w:name w:val="annotation reference"/>
    <w:basedOn w:val="9"/>
    <w:semiHidden/>
    <w:unhideWhenUsed/>
    <w:qFormat/>
    <w:uiPriority w:val="99"/>
    <w:rPr>
      <w:sz w:val="21"/>
      <w:szCs w:val="21"/>
    </w:rPr>
  </w:style>
  <w:style w:type="paragraph" w:styleId="11">
    <w:name w:val="List Paragraph"/>
    <w:basedOn w:val="1"/>
    <w:qFormat/>
    <w:uiPriority w:val="34"/>
    <w:pPr>
      <w:ind w:firstLine="420" w:firstLineChars="200"/>
    </w:pPr>
  </w:style>
  <w:style w:type="character" w:customStyle="1" w:styleId="12">
    <w:name w:val="页眉 字符"/>
    <w:basedOn w:val="9"/>
    <w:link w:val="5"/>
    <w:qFormat/>
    <w:uiPriority w:val="99"/>
    <w:rPr>
      <w:sz w:val="18"/>
      <w:szCs w:val="18"/>
    </w:rPr>
  </w:style>
  <w:style w:type="character" w:customStyle="1" w:styleId="13">
    <w:name w:val="页脚 字符"/>
    <w:basedOn w:val="9"/>
    <w:link w:val="4"/>
    <w:qFormat/>
    <w:uiPriority w:val="99"/>
    <w:rPr>
      <w:sz w:val="18"/>
      <w:szCs w:val="18"/>
    </w:rPr>
  </w:style>
  <w:style w:type="character" w:customStyle="1" w:styleId="14">
    <w:name w:val="批注框文本 字符"/>
    <w:basedOn w:val="9"/>
    <w:link w:val="3"/>
    <w:semiHidden/>
    <w:qFormat/>
    <w:uiPriority w:val="99"/>
    <w:rPr>
      <w:sz w:val="18"/>
      <w:szCs w:val="18"/>
    </w:rPr>
  </w:style>
  <w:style w:type="character" w:customStyle="1" w:styleId="15">
    <w:name w:val="批注文字 字符"/>
    <w:basedOn w:val="9"/>
    <w:link w:val="2"/>
    <w:semiHidden/>
    <w:qFormat/>
    <w:uiPriority w:val="99"/>
  </w:style>
  <w:style w:type="character" w:customStyle="1" w:styleId="16">
    <w:name w:val="批注主题 字符"/>
    <w:basedOn w:val="15"/>
    <w:link w:val="7"/>
    <w:semiHidden/>
    <w:qFormat/>
    <w:uiPriority w:val="99"/>
    <w:rPr>
      <w:b/>
      <w:bCs/>
    </w:rPr>
  </w:style>
  <w:style w:type="paragraph" w:customStyle="1" w:styleId="17">
    <w:name w:val="列出段落1"/>
    <w:basedOn w:val="1"/>
    <w:semiHidden/>
    <w:qFormat/>
    <w:uiPriority w:val="0"/>
    <w:pPr>
      <w:ind w:firstLine="420" w:firstLineChars="200"/>
    </w:pPr>
  </w:style>
  <w:style w:type="paragraph" w:customStyle="1" w:styleId="18">
    <w:name w:val="Revision"/>
    <w:hidden/>
    <w:semiHidden/>
    <w:qFormat/>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A9F3721-4AB3-4363-8B7C-F6014C1B8ECD}">
  <ds:schemaRefs/>
</ds:datastoreItem>
</file>

<file path=docProps/app.xml><?xml version="1.0" encoding="utf-8"?>
<Properties xmlns="http://schemas.openxmlformats.org/officeDocument/2006/extended-properties" xmlns:vt="http://schemas.openxmlformats.org/officeDocument/2006/docPropsVTypes">
  <Template>Normal</Template>
  <Pages>14</Pages>
  <Words>4307</Words>
  <Characters>4408</Characters>
  <Lines>35</Lines>
  <Paragraphs>10</Paragraphs>
  <TotalTime>24</TotalTime>
  <ScaleCrop>false</ScaleCrop>
  <LinksUpToDate>false</LinksUpToDate>
  <CharactersWithSpaces>4449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2022-09-06T06:44:00Z</dcterms:created>
  <dc:creator>刘 济榜</dc:creator>
  <cp:lastModifiedBy>付洁廉</cp:lastModifiedBy>
  <cp:lastPrinted>2019-06-05T07:42:00Z</cp:lastPrinted>
  <dcterms:modified xsi:type="dcterms:W3CDTF">2022-09-15T03:37:43Z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6CD8CCF79A5D49C997E69170D7570371</vt:lpwstr>
  </property>
</Properties>
</file>